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1.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3.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4.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E2A" w:rsidRPr="001E0D9A" w:rsidRDefault="00CC6E2A" w:rsidP="00700BFC">
      <w:pPr>
        <w:spacing w:after="0" w:line="360" w:lineRule="auto"/>
        <w:jc w:val="center"/>
        <w:rPr>
          <w:rFonts w:cstheme="minorHAnsi"/>
          <w:b/>
          <w:sz w:val="24"/>
          <w:szCs w:val="24"/>
        </w:rPr>
      </w:pPr>
      <w:r w:rsidRPr="001E0D9A">
        <w:rPr>
          <w:rFonts w:cstheme="minorHAnsi"/>
          <w:b/>
          <w:sz w:val="24"/>
          <w:szCs w:val="24"/>
        </w:rPr>
        <w:t>ΕΞΑΜΗΝΑΙΟ ΔΕΛΤΙΟ ΟΙΚΟΝΟΜΙΚΟΥ ΚΛΙΜΑΤΟΣ ΜΙΚΡΩΝ &amp; ΠΟΛΥ ΜΙΚΡΩΝ ΕΠΙΧΕΙΡΗΣΕΩΝ</w:t>
      </w:r>
    </w:p>
    <w:p w:rsidR="00CC6E2A" w:rsidRPr="001E0D9A" w:rsidRDefault="00CC6E2A" w:rsidP="00700BFC">
      <w:pPr>
        <w:spacing w:after="0" w:line="360" w:lineRule="auto"/>
        <w:jc w:val="right"/>
        <w:rPr>
          <w:rFonts w:cstheme="minorHAnsi"/>
          <w:sz w:val="24"/>
          <w:szCs w:val="24"/>
        </w:rPr>
      </w:pPr>
      <w:r w:rsidRPr="002B7D15">
        <w:rPr>
          <w:rFonts w:cstheme="minorHAnsi"/>
          <w:sz w:val="24"/>
          <w:szCs w:val="24"/>
        </w:rPr>
        <w:t>1 Σεπτεμβρίου 2022</w:t>
      </w:r>
    </w:p>
    <w:p w:rsidR="00CC6E2A" w:rsidRPr="001E0D9A" w:rsidRDefault="00CC6E2A" w:rsidP="00700BFC">
      <w:pPr>
        <w:spacing w:after="0" w:line="360" w:lineRule="auto"/>
        <w:jc w:val="center"/>
        <w:rPr>
          <w:rFonts w:cstheme="minorHAnsi"/>
          <w:b/>
          <w:sz w:val="24"/>
          <w:szCs w:val="24"/>
        </w:rPr>
      </w:pPr>
      <w:r w:rsidRPr="002B7D15">
        <w:rPr>
          <w:rFonts w:cstheme="minorHAnsi"/>
          <w:b/>
          <w:sz w:val="24"/>
          <w:szCs w:val="24"/>
        </w:rPr>
        <w:t>(</w:t>
      </w:r>
      <w:proofErr w:type="spellStart"/>
      <w:r w:rsidRPr="002B7D15">
        <w:rPr>
          <w:rFonts w:cstheme="minorHAnsi"/>
          <w:b/>
          <w:sz w:val="24"/>
          <w:szCs w:val="24"/>
        </w:rPr>
        <w:t>Νο</w:t>
      </w:r>
      <w:proofErr w:type="spellEnd"/>
      <w:r w:rsidRPr="002B7D15">
        <w:rPr>
          <w:rFonts w:cstheme="minorHAnsi"/>
          <w:b/>
          <w:sz w:val="24"/>
          <w:szCs w:val="24"/>
        </w:rPr>
        <w:t>. 25, 2</w:t>
      </w:r>
      <w:r w:rsidRPr="002B7D15">
        <w:rPr>
          <w:rFonts w:cstheme="minorHAnsi"/>
          <w:b/>
          <w:sz w:val="24"/>
          <w:szCs w:val="24"/>
          <w:vertAlign w:val="superscript"/>
        </w:rPr>
        <w:t>ο</w:t>
      </w:r>
      <w:r w:rsidRPr="002B7D15">
        <w:rPr>
          <w:rFonts w:cstheme="minorHAnsi"/>
          <w:b/>
          <w:sz w:val="24"/>
          <w:szCs w:val="24"/>
        </w:rPr>
        <w:t>/2022)</w:t>
      </w:r>
    </w:p>
    <w:p w:rsidR="00CC6E2A" w:rsidRPr="00CC6E2A" w:rsidRDefault="00CC6E2A" w:rsidP="00700BFC">
      <w:pPr>
        <w:spacing w:after="0" w:line="360" w:lineRule="auto"/>
        <w:jc w:val="both"/>
        <w:rPr>
          <w:rFonts w:cstheme="minorHAnsi"/>
          <w:b/>
          <w:sz w:val="24"/>
          <w:szCs w:val="24"/>
        </w:rPr>
      </w:pPr>
      <w:r w:rsidRPr="00CC6E2A">
        <w:rPr>
          <w:rFonts w:cstheme="minorHAnsi"/>
          <w:b/>
          <w:sz w:val="24"/>
          <w:szCs w:val="24"/>
        </w:rPr>
        <w:t>Θέμα: Έρευνα ΙΜΕ ΓΣΕΒΕΕ – Εξαμηνιαία αποτύπωση οικονομικού κλίματος στις μικρές και πολύ μικρές επιχειρήσεις (0-49 άτομα προσωπικό, οι οποίες αποτελούν το 99,6% των ελληνικών επιχειρήσεων)</w:t>
      </w:r>
      <w:r w:rsidRPr="00CC6E2A">
        <w:rPr>
          <w:rStyle w:val="a9"/>
          <w:rFonts w:cstheme="minorHAnsi"/>
          <w:b/>
          <w:sz w:val="24"/>
          <w:szCs w:val="24"/>
        </w:rPr>
        <w:footnoteReference w:id="1"/>
      </w:r>
      <w:r w:rsidRPr="00CC6E2A">
        <w:rPr>
          <w:rFonts w:cstheme="minorHAnsi"/>
          <w:b/>
          <w:sz w:val="24"/>
          <w:szCs w:val="24"/>
        </w:rPr>
        <w:t xml:space="preserve"> </w:t>
      </w:r>
    </w:p>
    <w:p w:rsidR="00CC6E2A" w:rsidRPr="00CC6E2A" w:rsidRDefault="00CC6E2A" w:rsidP="00700BFC">
      <w:pPr>
        <w:spacing w:after="0" w:line="360" w:lineRule="auto"/>
        <w:jc w:val="both"/>
        <w:rPr>
          <w:rFonts w:cstheme="minorHAnsi"/>
          <w:sz w:val="24"/>
          <w:szCs w:val="24"/>
          <w:highlight w:val="yellow"/>
        </w:rPr>
      </w:pPr>
    </w:p>
    <w:p w:rsidR="00CC6E2A" w:rsidRPr="00CC6E2A" w:rsidRDefault="00CC6E2A" w:rsidP="00700BFC">
      <w:pPr>
        <w:spacing w:after="0" w:line="360" w:lineRule="auto"/>
        <w:jc w:val="both"/>
        <w:rPr>
          <w:rFonts w:cstheme="minorHAnsi"/>
          <w:sz w:val="24"/>
          <w:szCs w:val="24"/>
        </w:rPr>
      </w:pPr>
      <w:r w:rsidRPr="00CC6E2A">
        <w:rPr>
          <w:rFonts w:cstheme="minorHAnsi"/>
          <w:sz w:val="24"/>
          <w:szCs w:val="24"/>
        </w:rPr>
        <w:t>Η παρούσα έρευνα είναι η δεύτερη για το 2022 που διεξάγει το Ινστιτούτο Μικρών Επιχειρήσεων της ΓΣΕΒΕΕ σε εξαμηνιαία βάση από τον Μάιο του 2009. Οι τηλεφωνικές συνεντεύξεις διενεργήθηκαν από την εταιρία MARC AE σε πανελλαδικό δείγμα 80</w:t>
      </w:r>
      <w:r>
        <w:rPr>
          <w:rFonts w:cstheme="minorHAnsi"/>
          <w:sz w:val="24"/>
          <w:szCs w:val="24"/>
        </w:rPr>
        <w:t>1</w:t>
      </w:r>
      <w:r w:rsidRPr="00CC6E2A">
        <w:rPr>
          <w:rFonts w:cstheme="minorHAnsi"/>
          <w:sz w:val="24"/>
          <w:szCs w:val="24"/>
        </w:rPr>
        <w:t xml:space="preserve"> μικρών και </w:t>
      </w:r>
      <w:r>
        <w:rPr>
          <w:rFonts w:cstheme="minorHAnsi"/>
          <w:sz w:val="24"/>
          <w:szCs w:val="24"/>
        </w:rPr>
        <w:t xml:space="preserve">πολύ </w:t>
      </w:r>
      <w:r w:rsidRPr="00CC6E2A">
        <w:rPr>
          <w:rFonts w:cstheme="minorHAnsi"/>
          <w:sz w:val="24"/>
          <w:szCs w:val="24"/>
        </w:rPr>
        <w:t xml:space="preserve">μικρών επιχειρήσεων (0-49 άτομα προσωπικό), το διάστημα 6 έως </w:t>
      </w:r>
      <w:r w:rsidR="0045324D" w:rsidRPr="0045324D">
        <w:rPr>
          <w:rFonts w:cstheme="minorHAnsi"/>
          <w:sz w:val="24"/>
          <w:szCs w:val="24"/>
        </w:rPr>
        <w:t>2</w:t>
      </w:r>
      <w:r w:rsidRPr="00CC6E2A">
        <w:rPr>
          <w:rFonts w:cstheme="minorHAnsi"/>
          <w:sz w:val="24"/>
          <w:szCs w:val="24"/>
        </w:rPr>
        <w:t xml:space="preserve">7 Ιουλίου 2022. </w:t>
      </w:r>
    </w:p>
    <w:p w:rsidR="00CC6E2A" w:rsidRPr="00CC6E2A" w:rsidRDefault="00CC6E2A" w:rsidP="00700BFC">
      <w:pPr>
        <w:spacing w:after="0" w:line="360" w:lineRule="auto"/>
        <w:jc w:val="both"/>
        <w:rPr>
          <w:rFonts w:cstheme="minorHAnsi"/>
          <w:sz w:val="24"/>
          <w:szCs w:val="24"/>
          <w:highlight w:val="yellow"/>
        </w:rPr>
      </w:pPr>
    </w:p>
    <w:p w:rsidR="00252551" w:rsidRPr="00A00FA8" w:rsidRDefault="00252551" w:rsidP="00700BFC">
      <w:pPr>
        <w:spacing w:after="0" w:line="360" w:lineRule="auto"/>
        <w:jc w:val="both"/>
        <w:rPr>
          <w:rFonts w:cstheme="minorHAnsi"/>
          <w:b/>
          <w:sz w:val="24"/>
          <w:szCs w:val="24"/>
        </w:rPr>
      </w:pPr>
      <w:r w:rsidRPr="00A00FA8">
        <w:rPr>
          <w:rFonts w:cstheme="minorHAnsi"/>
          <w:b/>
          <w:sz w:val="24"/>
          <w:szCs w:val="24"/>
        </w:rPr>
        <w:t>Σταθεροποίηση της κατάστασης των μικρών και πολύ μικρών επιχειρήσεων με κάποια σημάδια ανάκαμψης</w:t>
      </w:r>
      <w:r w:rsidR="00E5779E" w:rsidRPr="00A00FA8">
        <w:rPr>
          <w:rFonts w:cstheme="minorHAnsi"/>
          <w:b/>
          <w:sz w:val="24"/>
          <w:szCs w:val="24"/>
        </w:rPr>
        <w:t>.</w:t>
      </w:r>
      <w:r w:rsidRPr="00A00FA8">
        <w:rPr>
          <w:rFonts w:cstheme="minorHAnsi"/>
          <w:b/>
          <w:sz w:val="24"/>
          <w:szCs w:val="24"/>
        </w:rPr>
        <w:t xml:space="preserve"> </w:t>
      </w:r>
      <w:r w:rsidR="00E5779E" w:rsidRPr="00A00FA8">
        <w:rPr>
          <w:rFonts w:cstheme="minorHAnsi"/>
          <w:b/>
          <w:sz w:val="24"/>
          <w:szCs w:val="24"/>
        </w:rPr>
        <w:t>Χ</w:t>
      </w:r>
      <w:r w:rsidRPr="00A00FA8">
        <w:rPr>
          <w:rFonts w:cstheme="minorHAnsi"/>
          <w:b/>
          <w:sz w:val="24"/>
          <w:szCs w:val="24"/>
        </w:rPr>
        <w:t xml:space="preserve">αμηλές </w:t>
      </w:r>
      <w:r w:rsidR="00E5779E" w:rsidRPr="00A00FA8">
        <w:rPr>
          <w:rFonts w:cstheme="minorHAnsi"/>
          <w:b/>
          <w:sz w:val="24"/>
          <w:szCs w:val="24"/>
        </w:rPr>
        <w:t xml:space="preserve">οι </w:t>
      </w:r>
      <w:r w:rsidRPr="00A00FA8">
        <w:rPr>
          <w:rFonts w:cstheme="minorHAnsi"/>
          <w:b/>
          <w:sz w:val="24"/>
          <w:szCs w:val="24"/>
        </w:rPr>
        <w:t>προσδοκίες για το μέλλον</w:t>
      </w:r>
      <w:r w:rsidR="00E5779E" w:rsidRPr="00A00FA8">
        <w:rPr>
          <w:rFonts w:cstheme="minorHAnsi"/>
          <w:b/>
          <w:sz w:val="24"/>
          <w:szCs w:val="24"/>
        </w:rPr>
        <w:t>.</w:t>
      </w:r>
    </w:p>
    <w:p w:rsidR="00A00FA8" w:rsidRDefault="00A00FA8" w:rsidP="00700BFC">
      <w:pPr>
        <w:spacing w:after="0" w:line="360" w:lineRule="auto"/>
        <w:jc w:val="both"/>
        <w:rPr>
          <w:rFonts w:ascii="Times New Roman" w:eastAsia="Times New Roman" w:hAnsi="Times New Roman" w:cs="Times New Roman"/>
          <w:color w:val="222222"/>
          <w:sz w:val="24"/>
          <w:szCs w:val="24"/>
        </w:rPr>
      </w:pPr>
    </w:p>
    <w:p w:rsidR="00CC6E2A" w:rsidRPr="00437B11" w:rsidRDefault="00252551" w:rsidP="00700BFC">
      <w:pPr>
        <w:spacing w:after="0" w:line="360" w:lineRule="auto"/>
        <w:jc w:val="both"/>
        <w:rPr>
          <w:rFonts w:eastAsia="Times New Roman" w:cstheme="minorHAnsi"/>
          <w:color w:val="222222"/>
          <w:sz w:val="24"/>
          <w:szCs w:val="24"/>
          <w:highlight w:val="yellow"/>
        </w:rPr>
      </w:pPr>
      <w:r w:rsidRPr="00437B11">
        <w:rPr>
          <w:rFonts w:eastAsia="Times New Roman" w:cstheme="minorHAnsi"/>
          <w:color w:val="222222"/>
          <w:sz w:val="24"/>
          <w:szCs w:val="24"/>
        </w:rPr>
        <w:t>Η κατάσταση των μικρών και πολύ μικρών επιχειρήσεων φαίνεται πως σταθεροποιείται</w:t>
      </w:r>
      <w:r w:rsidR="00E5779E" w:rsidRPr="00437B11">
        <w:rPr>
          <w:rFonts w:eastAsia="Times New Roman" w:cstheme="minorHAnsi"/>
          <w:color w:val="222222"/>
          <w:sz w:val="24"/>
          <w:szCs w:val="24"/>
        </w:rPr>
        <w:t xml:space="preserve"> το πρώτο εξάμηνο του 2022</w:t>
      </w:r>
      <w:r w:rsidRPr="00437B11">
        <w:rPr>
          <w:rFonts w:eastAsia="Times New Roman" w:cstheme="minorHAnsi"/>
          <w:color w:val="222222"/>
          <w:sz w:val="24"/>
          <w:szCs w:val="24"/>
        </w:rPr>
        <w:t xml:space="preserve"> παρουσιάζοντας</w:t>
      </w:r>
      <w:r w:rsidR="00E5779E" w:rsidRPr="00437B11">
        <w:rPr>
          <w:rFonts w:eastAsia="Times New Roman" w:cstheme="minorHAnsi"/>
          <w:color w:val="222222"/>
          <w:sz w:val="24"/>
          <w:szCs w:val="24"/>
        </w:rPr>
        <w:t>,</w:t>
      </w:r>
      <w:r w:rsidRPr="00437B11">
        <w:rPr>
          <w:rFonts w:eastAsia="Times New Roman" w:cstheme="minorHAnsi"/>
          <w:color w:val="222222"/>
          <w:sz w:val="24"/>
          <w:szCs w:val="24"/>
        </w:rPr>
        <w:t xml:space="preserve"> μάλιστα</w:t>
      </w:r>
      <w:r w:rsidR="00E5779E" w:rsidRPr="00437B11">
        <w:rPr>
          <w:rFonts w:eastAsia="Times New Roman" w:cstheme="minorHAnsi"/>
          <w:color w:val="222222"/>
          <w:sz w:val="24"/>
          <w:szCs w:val="24"/>
        </w:rPr>
        <w:t>,</w:t>
      </w:r>
      <w:r w:rsidRPr="00437B11">
        <w:rPr>
          <w:rFonts w:eastAsia="Times New Roman" w:cstheme="minorHAnsi"/>
          <w:color w:val="222222"/>
          <w:sz w:val="24"/>
          <w:szCs w:val="24"/>
        </w:rPr>
        <w:t xml:space="preserve"> και κάποια σημάδια ανάκαμψης, παρά την παράλληλη εξέλιξη της υγειονομικής, ενεργειακής και γεωπολιτικής κρίσης. Αυτό προκύπτει από την μείωση των καθυστερημένων υποχρεώσεων </w:t>
      </w:r>
      <w:r w:rsidR="00A00FA8" w:rsidRPr="00437B11">
        <w:rPr>
          <w:rFonts w:eastAsia="Times New Roman" w:cstheme="minorHAnsi"/>
          <w:color w:val="222222"/>
          <w:sz w:val="24"/>
          <w:szCs w:val="24"/>
        </w:rPr>
        <w:t xml:space="preserve">των επιχειρήσεων </w:t>
      </w:r>
      <w:r w:rsidRPr="00437B11">
        <w:rPr>
          <w:rFonts w:eastAsia="Times New Roman" w:cstheme="minorHAnsi"/>
          <w:color w:val="222222"/>
          <w:sz w:val="24"/>
          <w:szCs w:val="24"/>
        </w:rPr>
        <w:t xml:space="preserve">σε προ πανδημίας επίπεδα και </w:t>
      </w:r>
      <w:r w:rsidR="00130335" w:rsidRPr="00437B11">
        <w:rPr>
          <w:rFonts w:eastAsia="Times New Roman" w:cstheme="minorHAnsi"/>
          <w:color w:val="222222"/>
          <w:sz w:val="24"/>
          <w:szCs w:val="24"/>
        </w:rPr>
        <w:t>την αύξηση της απασχόλησης</w:t>
      </w:r>
      <w:r w:rsidR="00A00FA8" w:rsidRPr="00437B11">
        <w:rPr>
          <w:rFonts w:eastAsia="Times New Roman" w:cstheme="minorHAnsi"/>
          <w:color w:val="222222"/>
          <w:sz w:val="24"/>
          <w:szCs w:val="24"/>
        </w:rPr>
        <w:t>,</w:t>
      </w:r>
      <w:r w:rsidR="00130335" w:rsidRPr="00437B11">
        <w:rPr>
          <w:rFonts w:eastAsia="Times New Roman" w:cstheme="minorHAnsi"/>
          <w:color w:val="222222"/>
          <w:sz w:val="24"/>
          <w:szCs w:val="24"/>
        </w:rPr>
        <w:t xml:space="preserve"> που παρουσιάζει θετικό ισοζύγιο τόσο ως προς την αποτίμηση του πρώτου εξαμήνου του 2022 όσο και ως προς τις εκτιμήσεις για το δεύτερο εξάμηνο του έτους. </w:t>
      </w:r>
    </w:p>
    <w:p w:rsidR="00437B11" w:rsidRPr="00437B11" w:rsidRDefault="005A25E4" w:rsidP="00700BFC">
      <w:pPr>
        <w:spacing w:after="0" w:line="360" w:lineRule="auto"/>
        <w:jc w:val="both"/>
        <w:rPr>
          <w:rFonts w:cstheme="minorHAnsi"/>
          <w:sz w:val="24"/>
          <w:szCs w:val="24"/>
        </w:rPr>
      </w:pPr>
      <w:r w:rsidRPr="00437B11">
        <w:rPr>
          <w:rFonts w:cstheme="minorHAnsi"/>
          <w:sz w:val="24"/>
          <w:szCs w:val="24"/>
        </w:rPr>
        <w:t>Ο Δείκτης Οικονομικού Κλίματος των μικρών και πολύ μικρών επιχειρήσεων ε</w:t>
      </w:r>
      <w:r w:rsidR="00E5779E" w:rsidRPr="00437B11">
        <w:rPr>
          <w:rFonts w:cstheme="minorHAnsi"/>
          <w:sz w:val="24"/>
          <w:szCs w:val="24"/>
        </w:rPr>
        <w:t>νισχύεται</w:t>
      </w:r>
      <w:r w:rsidRPr="00437B11">
        <w:rPr>
          <w:rFonts w:cstheme="minorHAnsi"/>
          <w:sz w:val="24"/>
          <w:szCs w:val="24"/>
        </w:rPr>
        <w:t xml:space="preserve"> </w:t>
      </w:r>
      <w:r w:rsidR="00130335" w:rsidRPr="00437B11">
        <w:rPr>
          <w:rFonts w:cstheme="minorHAnsi"/>
          <w:sz w:val="24"/>
          <w:szCs w:val="24"/>
        </w:rPr>
        <w:t>για τρίτο συνεχόμενο εξάμηνο</w:t>
      </w:r>
      <w:r w:rsidRPr="00437B11">
        <w:rPr>
          <w:rFonts w:cstheme="minorHAnsi"/>
          <w:sz w:val="24"/>
          <w:szCs w:val="24"/>
        </w:rPr>
        <w:t xml:space="preserve"> και διαμορφώ</w:t>
      </w:r>
      <w:r w:rsidR="00E5779E" w:rsidRPr="00437B11">
        <w:rPr>
          <w:rFonts w:cstheme="minorHAnsi"/>
          <w:sz w:val="24"/>
          <w:szCs w:val="24"/>
        </w:rPr>
        <w:t>νεται</w:t>
      </w:r>
      <w:r w:rsidRPr="00437B11">
        <w:rPr>
          <w:rFonts w:cstheme="minorHAnsi"/>
          <w:sz w:val="24"/>
          <w:szCs w:val="24"/>
        </w:rPr>
        <w:t xml:space="preserve"> στις 54,3 μονάδες. Λαμβάνοντας υπόψη την καθίζηση που υπέστη το 2020, όπου από τις 66,4 μονάδες που ήταν πριν την πανδημία διολίσθησε στις 20,1 μονάδες, φαίνεται ότι το πλήρες άνοιγμα της οικονομίας, η καλή τουριστική περίοδος και τα μέτρα στήριξης που έχουν εφαρμοστεί αποτέλεσαν τους παράγοντες για την περαιτέρω άνοδό του, περιορίζοντας τις </w:t>
      </w:r>
      <w:r w:rsidRPr="00437B11">
        <w:rPr>
          <w:rFonts w:cstheme="minorHAnsi"/>
          <w:sz w:val="24"/>
          <w:szCs w:val="24"/>
        </w:rPr>
        <w:lastRenderedPageBreak/>
        <w:t xml:space="preserve">αρνητικές προσδοκίες </w:t>
      </w:r>
      <w:r w:rsidR="00130335" w:rsidRPr="00437B11">
        <w:rPr>
          <w:rFonts w:cstheme="minorHAnsi"/>
          <w:sz w:val="24"/>
          <w:szCs w:val="24"/>
        </w:rPr>
        <w:t>από την τρόικα των εν εξελίξει κρίσεων</w:t>
      </w:r>
      <w:r w:rsidRPr="00437B11">
        <w:rPr>
          <w:rFonts w:cstheme="minorHAnsi"/>
          <w:sz w:val="24"/>
          <w:szCs w:val="24"/>
        </w:rPr>
        <w:t xml:space="preserve">. Ωστόσο, δεν προσέγγισε τα προ πανδημίας επίπεδα. </w:t>
      </w:r>
    </w:p>
    <w:p w:rsidR="005A25E4" w:rsidRPr="00437B11" w:rsidRDefault="005A25E4" w:rsidP="00700BFC">
      <w:pPr>
        <w:spacing w:after="0" w:line="360" w:lineRule="auto"/>
        <w:jc w:val="both"/>
        <w:rPr>
          <w:rFonts w:cstheme="minorHAnsi"/>
          <w:sz w:val="24"/>
          <w:szCs w:val="24"/>
        </w:rPr>
      </w:pPr>
      <w:r w:rsidRPr="00437B11">
        <w:rPr>
          <w:rFonts w:cstheme="minorHAnsi"/>
          <w:sz w:val="24"/>
          <w:szCs w:val="24"/>
        </w:rPr>
        <w:t xml:space="preserve">Η ανάκαμψη που καταγράφεται για το πρώτο εξάμηνο του 2022 επισκιάζεται από τα σοβαρά προβλήματα ρευστότητας που παρουσιάζουν οι μικρές και πολύ μικρές επιχειρήσεις. </w:t>
      </w:r>
      <w:r w:rsidR="00E5779E" w:rsidRPr="00437B11">
        <w:rPr>
          <w:rFonts w:cstheme="minorHAnsi"/>
          <w:sz w:val="24"/>
          <w:szCs w:val="24"/>
        </w:rPr>
        <w:t>Συγκεκριμένα, π</w:t>
      </w:r>
      <w:r w:rsidR="0045324D">
        <w:rPr>
          <w:rFonts w:cstheme="minorHAnsi"/>
          <w:sz w:val="24"/>
          <w:szCs w:val="24"/>
        </w:rPr>
        <w:t>ερισσότερες από 1</w:t>
      </w:r>
      <w:r w:rsidR="0045324D" w:rsidRPr="0045324D">
        <w:rPr>
          <w:rFonts w:cstheme="minorHAnsi"/>
          <w:sz w:val="24"/>
          <w:szCs w:val="24"/>
        </w:rPr>
        <w:t xml:space="preserve"> </w:t>
      </w:r>
      <w:r w:rsidR="00130335" w:rsidRPr="00437B11">
        <w:rPr>
          <w:rFonts w:cstheme="minorHAnsi"/>
          <w:sz w:val="24"/>
          <w:szCs w:val="24"/>
        </w:rPr>
        <w:t>στις 3 μικρές και πολύ μικρές επιχειρήσεις (37,1%) δήλωσαν ότι έχουν μηδενικά ρευστά διαθέσιμα (27,8%) ή διαθέσιμα που επαρκούν λιγότερο από μήνα (9,2%).</w:t>
      </w:r>
      <w:r w:rsidR="00E5779E" w:rsidRPr="00437B11">
        <w:rPr>
          <w:rFonts w:cstheme="minorHAnsi"/>
          <w:sz w:val="24"/>
          <w:szCs w:val="24"/>
        </w:rPr>
        <w:t xml:space="preserve"> </w:t>
      </w:r>
      <w:r w:rsidRPr="00437B11">
        <w:rPr>
          <w:rFonts w:cstheme="minorHAnsi"/>
          <w:sz w:val="24"/>
          <w:szCs w:val="24"/>
        </w:rPr>
        <w:t xml:space="preserve">Επιπλέον, η οικονομική κατάσταση των επιχειρήσεων εστίασης και των μικρότερων </w:t>
      </w:r>
      <w:r w:rsidR="00E5779E" w:rsidRPr="00437B11">
        <w:rPr>
          <w:rFonts w:cstheme="minorHAnsi"/>
          <w:sz w:val="24"/>
          <w:szCs w:val="24"/>
        </w:rPr>
        <w:t xml:space="preserve">πολυάριθμων επιχειρήσεων </w:t>
      </w:r>
      <w:r w:rsidRPr="00437B11">
        <w:rPr>
          <w:rFonts w:cstheme="minorHAnsi"/>
          <w:sz w:val="24"/>
          <w:szCs w:val="24"/>
        </w:rPr>
        <w:t>επιδεινώνεται περαιτέρω.  Για τις επιχειρήσεις αυτές, τα σοβαρά προβλήματα ρευστότητας είναι εντονότερα, καθώς και η δυνατότητά τους να ανταποκριθούν στις υποχρεώσεις τους και να ξεφύγουν από τον φαύλο κύκλο της υπερχρέωσης.</w:t>
      </w:r>
    </w:p>
    <w:p w:rsidR="005A25E4" w:rsidRPr="00437B11" w:rsidRDefault="00E5779E" w:rsidP="00700BFC">
      <w:pPr>
        <w:spacing w:after="0" w:line="360" w:lineRule="auto"/>
        <w:jc w:val="both"/>
        <w:rPr>
          <w:rFonts w:cstheme="minorHAnsi"/>
          <w:sz w:val="24"/>
          <w:szCs w:val="24"/>
        </w:rPr>
      </w:pPr>
      <w:r w:rsidRPr="00437B11">
        <w:rPr>
          <w:rFonts w:cstheme="minorHAnsi"/>
          <w:sz w:val="24"/>
          <w:szCs w:val="24"/>
        </w:rPr>
        <w:t>Παράλληλα</w:t>
      </w:r>
      <w:r w:rsidR="00437B11" w:rsidRPr="00437B11">
        <w:rPr>
          <w:rFonts w:cstheme="minorHAnsi"/>
          <w:sz w:val="24"/>
          <w:szCs w:val="24"/>
        </w:rPr>
        <w:t>,</w:t>
      </w:r>
      <w:r w:rsidRPr="00437B11">
        <w:rPr>
          <w:rFonts w:cstheme="minorHAnsi"/>
          <w:sz w:val="24"/>
          <w:szCs w:val="24"/>
        </w:rPr>
        <w:t xml:space="preserve"> οι επιπτώσεις από τις ανατιμήσεις εντείνονται. Το κόστος λειτουργίας των επιχειρήσεων συνεχίζει να αυξάνεται καθώς με βάση τ</w:t>
      </w:r>
      <w:r w:rsidR="00437B11" w:rsidRPr="00437B11">
        <w:rPr>
          <w:rFonts w:cstheme="minorHAnsi"/>
          <w:sz w:val="24"/>
          <w:szCs w:val="24"/>
        </w:rPr>
        <w:t>α ευρήματα της έρευνας αυξήθηκε</w:t>
      </w:r>
      <w:r w:rsidRPr="00437B11">
        <w:rPr>
          <w:rFonts w:cstheme="minorHAnsi"/>
          <w:sz w:val="24"/>
          <w:szCs w:val="24"/>
        </w:rPr>
        <w:t xml:space="preserve"> </w:t>
      </w:r>
      <w:proofErr w:type="spellStart"/>
      <w:r w:rsidRPr="00437B11">
        <w:rPr>
          <w:rFonts w:cstheme="minorHAnsi"/>
          <w:sz w:val="24"/>
          <w:szCs w:val="24"/>
        </w:rPr>
        <w:t>μεσοσταθμικά</w:t>
      </w:r>
      <w:proofErr w:type="spellEnd"/>
      <w:r w:rsidRPr="00437B11">
        <w:rPr>
          <w:rFonts w:cstheme="minorHAnsi"/>
          <w:sz w:val="24"/>
          <w:szCs w:val="24"/>
        </w:rPr>
        <w:t xml:space="preserve"> το κόστος ενέργειας κατά </w:t>
      </w:r>
      <w:r w:rsidR="00A00FA8" w:rsidRPr="00437B11">
        <w:rPr>
          <w:rFonts w:cstheme="minorHAnsi"/>
          <w:sz w:val="24"/>
          <w:szCs w:val="24"/>
        </w:rPr>
        <w:t>76</w:t>
      </w:r>
      <w:r w:rsidRPr="00437B11">
        <w:rPr>
          <w:rFonts w:cstheme="minorHAnsi"/>
          <w:sz w:val="24"/>
          <w:szCs w:val="24"/>
        </w:rPr>
        <w:t xml:space="preserve">%, το κόστος προμήθειας πρώτων υλών και εμπορευμάτων κατά </w:t>
      </w:r>
      <w:r w:rsidR="00A00FA8" w:rsidRPr="00437B11">
        <w:rPr>
          <w:rFonts w:cstheme="minorHAnsi"/>
          <w:sz w:val="24"/>
          <w:szCs w:val="24"/>
        </w:rPr>
        <w:t>43,5</w:t>
      </w:r>
      <w:r w:rsidRPr="00437B11">
        <w:rPr>
          <w:rFonts w:cstheme="minorHAnsi"/>
          <w:sz w:val="24"/>
          <w:szCs w:val="24"/>
        </w:rPr>
        <w:t xml:space="preserve">%, το κόστος καυσίμων οχημάτων κατά </w:t>
      </w:r>
      <w:r w:rsidR="00A00FA8" w:rsidRPr="00437B11">
        <w:rPr>
          <w:rFonts w:cstheme="minorHAnsi"/>
          <w:sz w:val="24"/>
          <w:szCs w:val="24"/>
        </w:rPr>
        <w:t>57,8</w:t>
      </w:r>
      <w:r w:rsidRPr="00437B11">
        <w:rPr>
          <w:rFonts w:cstheme="minorHAnsi"/>
          <w:sz w:val="24"/>
          <w:szCs w:val="24"/>
        </w:rPr>
        <w:t xml:space="preserve">% και το κόστος προμήθειας εξοπλισμού και μηχανημάτων κατά </w:t>
      </w:r>
      <w:r w:rsidR="00A00FA8" w:rsidRPr="00437B11">
        <w:rPr>
          <w:rFonts w:cstheme="minorHAnsi"/>
          <w:sz w:val="24"/>
          <w:szCs w:val="24"/>
        </w:rPr>
        <w:t>26,2</w:t>
      </w:r>
      <w:r w:rsidRPr="00437B11">
        <w:rPr>
          <w:rFonts w:cstheme="minorHAnsi"/>
          <w:sz w:val="24"/>
          <w:szCs w:val="24"/>
        </w:rPr>
        <w:t>%.</w:t>
      </w:r>
      <w:r w:rsidR="00A00FA8" w:rsidRPr="00437B11">
        <w:rPr>
          <w:rFonts w:cstheme="minorHAnsi"/>
          <w:sz w:val="24"/>
          <w:szCs w:val="24"/>
        </w:rPr>
        <w:t xml:space="preserve"> Συνέπεια του αυξημένου κόστους λειτουργίας ήταν να καταγραφεί νέος ιστορικά υψηλός αριθμός επιχειρήσεων που αύξησαν τις τιμές πώλησης αγαθών/υπηρεσιών. Το πρώτο εξάμηνο του 2022, 6 στις 10 μικρές και πολύ μικρές επιχειρήσεις (59,2%) προχώρησαν σε αύξηση </w:t>
      </w:r>
      <w:r w:rsidR="00437B11" w:rsidRPr="00437B11">
        <w:rPr>
          <w:rFonts w:cstheme="minorHAnsi"/>
          <w:sz w:val="24"/>
          <w:szCs w:val="24"/>
        </w:rPr>
        <w:t>των τιμών τους</w:t>
      </w:r>
      <w:r w:rsidR="00A00FA8" w:rsidRPr="00437B11">
        <w:rPr>
          <w:rFonts w:cstheme="minorHAnsi"/>
          <w:sz w:val="24"/>
          <w:szCs w:val="24"/>
        </w:rPr>
        <w:t>.</w:t>
      </w:r>
    </w:p>
    <w:p w:rsidR="005A25E4" w:rsidRPr="00437B11" w:rsidRDefault="00437B11" w:rsidP="00700BFC">
      <w:pPr>
        <w:spacing w:after="0" w:line="360" w:lineRule="auto"/>
        <w:jc w:val="both"/>
        <w:rPr>
          <w:rFonts w:eastAsia="Times New Roman" w:cstheme="minorHAnsi"/>
          <w:color w:val="222222"/>
          <w:sz w:val="24"/>
          <w:szCs w:val="24"/>
        </w:rPr>
      </w:pPr>
      <w:r w:rsidRPr="00437B11">
        <w:rPr>
          <w:rFonts w:eastAsia="Times New Roman" w:cstheme="minorHAnsi"/>
          <w:color w:val="222222"/>
          <w:sz w:val="24"/>
          <w:szCs w:val="24"/>
        </w:rPr>
        <w:t xml:space="preserve">Τέλος, </w:t>
      </w:r>
      <w:r>
        <w:rPr>
          <w:rFonts w:eastAsia="Times New Roman" w:cstheme="minorHAnsi"/>
          <w:color w:val="222222"/>
          <w:sz w:val="24"/>
          <w:szCs w:val="24"/>
        </w:rPr>
        <w:t>αρνητικές</w:t>
      </w:r>
      <w:r w:rsidRPr="00437B11">
        <w:rPr>
          <w:rFonts w:eastAsia="Times New Roman" w:cstheme="minorHAnsi"/>
          <w:color w:val="222222"/>
          <w:sz w:val="24"/>
          <w:szCs w:val="24"/>
        </w:rPr>
        <w:t xml:space="preserve"> παραμένουν οι προσδοκίες για το μέλλον. </w:t>
      </w:r>
      <w:r w:rsidR="00A00FA8" w:rsidRPr="00437B11">
        <w:rPr>
          <w:rFonts w:eastAsia="Times New Roman" w:cstheme="minorHAnsi"/>
          <w:color w:val="222222"/>
          <w:sz w:val="24"/>
          <w:szCs w:val="24"/>
        </w:rPr>
        <w:t>Σημαντική</w:t>
      </w:r>
      <w:r w:rsidRPr="00437B11">
        <w:rPr>
          <w:rFonts w:eastAsia="Times New Roman" w:cstheme="minorHAnsi"/>
          <w:color w:val="222222"/>
          <w:sz w:val="24"/>
          <w:szCs w:val="24"/>
        </w:rPr>
        <w:t>, μάλιστα,</w:t>
      </w:r>
      <w:r w:rsidR="00A00FA8" w:rsidRPr="00437B11">
        <w:rPr>
          <w:rFonts w:eastAsia="Times New Roman" w:cstheme="minorHAnsi"/>
          <w:color w:val="222222"/>
          <w:sz w:val="24"/>
          <w:szCs w:val="24"/>
        </w:rPr>
        <w:t xml:space="preserve"> άνοδο παρουσιάζει ο δείκτης αβεβαιότητας των μικρών και πολύ μικρών επιχειρήσεων, καταγράφοντας το υψηλότερο επίπεδο που έχει αποτυπωθεί </w:t>
      </w:r>
      <w:r w:rsidRPr="00437B11">
        <w:rPr>
          <w:rFonts w:eastAsia="Times New Roman" w:cstheme="minorHAnsi"/>
          <w:color w:val="222222"/>
          <w:sz w:val="24"/>
          <w:szCs w:val="24"/>
        </w:rPr>
        <w:t>από την εκδήλωση</w:t>
      </w:r>
      <w:r w:rsidR="00A00FA8" w:rsidRPr="00437B11">
        <w:rPr>
          <w:rFonts w:eastAsia="Times New Roman" w:cstheme="minorHAnsi"/>
          <w:color w:val="222222"/>
          <w:sz w:val="24"/>
          <w:szCs w:val="24"/>
        </w:rPr>
        <w:t xml:space="preserve"> της υγειονομικής κρίσης.</w:t>
      </w:r>
      <w:r w:rsidRPr="00437B11">
        <w:rPr>
          <w:rFonts w:cstheme="minorHAnsi"/>
        </w:rPr>
        <w:t xml:space="preserve"> </w:t>
      </w:r>
      <w:r w:rsidRPr="00437B11">
        <w:rPr>
          <w:rFonts w:eastAsia="Times New Roman" w:cstheme="minorHAnsi"/>
          <w:color w:val="222222"/>
          <w:sz w:val="24"/>
          <w:szCs w:val="24"/>
        </w:rPr>
        <w:t>Συγκεκριμένα, σχεδόν 4 στις 10 επιχειρήσεις (38,6%) εκφράζουν φόβο για ενδεχόμενη διακοπή της δραστηριότητάς τους στο μέλλον. Αντίστοιχα</w:t>
      </w:r>
      <w:r w:rsidR="0045324D">
        <w:rPr>
          <w:rFonts w:eastAsia="Times New Roman" w:cstheme="minorHAnsi"/>
          <w:color w:val="222222"/>
          <w:sz w:val="24"/>
          <w:szCs w:val="24"/>
        </w:rPr>
        <w:t>,</w:t>
      </w:r>
      <w:r w:rsidRPr="00437B11">
        <w:rPr>
          <w:rFonts w:eastAsia="Times New Roman" w:cstheme="minorHAnsi"/>
          <w:color w:val="222222"/>
          <w:sz w:val="24"/>
          <w:szCs w:val="24"/>
        </w:rPr>
        <w:t xml:space="preserve"> ο δείκτης βιωσιμότητας των μικρών και πολύ μικρών επιχειρήσεων καταγράφει το </w:t>
      </w:r>
      <w:r w:rsidR="00210568">
        <w:rPr>
          <w:rFonts w:eastAsia="Times New Roman" w:cstheme="minorHAnsi"/>
          <w:color w:val="222222"/>
          <w:sz w:val="24"/>
          <w:szCs w:val="24"/>
        </w:rPr>
        <w:t>χειρότερο</w:t>
      </w:r>
      <w:r w:rsidRPr="00437B11">
        <w:rPr>
          <w:rFonts w:eastAsia="Times New Roman" w:cstheme="minorHAnsi"/>
          <w:color w:val="222222"/>
          <w:sz w:val="24"/>
          <w:szCs w:val="24"/>
        </w:rPr>
        <w:t xml:space="preserve"> ποσοστό από την έναρξη της υγειονομικής κρίσης με το 6,5% των μικρών και πολύ μικρών επιχειρήσεων να αντιμετωπίζει άμεσο κίνδυνο διακοπής της δραστηριότητας του.</w:t>
      </w:r>
    </w:p>
    <w:p w:rsidR="005A25E4" w:rsidRDefault="005A25E4" w:rsidP="00700BFC">
      <w:pPr>
        <w:spacing w:after="0" w:line="360" w:lineRule="auto"/>
        <w:jc w:val="both"/>
        <w:rPr>
          <w:rFonts w:ascii="Times New Roman" w:eastAsia="Times New Roman" w:hAnsi="Times New Roman" w:cs="Times New Roman"/>
          <w:color w:val="222222"/>
          <w:sz w:val="24"/>
          <w:szCs w:val="24"/>
          <w:highlight w:val="yellow"/>
        </w:rPr>
      </w:pPr>
    </w:p>
    <w:p w:rsidR="00CC6E2A" w:rsidRDefault="00CC6E2A" w:rsidP="00700BFC">
      <w:pPr>
        <w:spacing w:after="0" w:line="360" w:lineRule="auto"/>
        <w:jc w:val="both"/>
        <w:rPr>
          <w:rFonts w:eastAsia="Times New Roman" w:cstheme="minorHAnsi"/>
          <w:b/>
          <w:bCs/>
          <w:color w:val="222222"/>
          <w:sz w:val="24"/>
          <w:szCs w:val="24"/>
        </w:rPr>
      </w:pPr>
    </w:p>
    <w:p w:rsidR="00437B11" w:rsidRDefault="00437B11" w:rsidP="00700BFC">
      <w:pPr>
        <w:spacing w:after="0" w:line="360" w:lineRule="auto"/>
        <w:jc w:val="both"/>
        <w:rPr>
          <w:rFonts w:eastAsia="Times New Roman" w:cstheme="minorHAnsi"/>
          <w:b/>
          <w:bCs/>
          <w:color w:val="222222"/>
          <w:sz w:val="24"/>
          <w:szCs w:val="24"/>
        </w:rPr>
      </w:pPr>
    </w:p>
    <w:p w:rsidR="00437B11" w:rsidRDefault="00437B11" w:rsidP="00700BFC">
      <w:pPr>
        <w:spacing w:after="0" w:line="360" w:lineRule="auto"/>
        <w:jc w:val="both"/>
        <w:rPr>
          <w:rFonts w:eastAsia="Times New Roman" w:cstheme="minorHAnsi"/>
          <w:b/>
          <w:bCs/>
          <w:color w:val="222222"/>
          <w:sz w:val="24"/>
          <w:szCs w:val="24"/>
        </w:rPr>
      </w:pPr>
    </w:p>
    <w:p w:rsidR="00437B11" w:rsidRDefault="00437B11" w:rsidP="00700BFC">
      <w:pPr>
        <w:spacing w:after="0" w:line="360" w:lineRule="auto"/>
        <w:jc w:val="both"/>
        <w:rPr>
          <w:rFonts w:eastAsia="Times New Roman" w:cstheme="minorHAnsi"/>
          <w:b/>
          <w:bCs/>
          <w:color w:val="222222"/>
          <w:sz w:val="24"/>
          <w:szCs w:val="24"/>
        </w:rPr>
      </w:pPr>
    </w:p>
    <w:p w:rsidR="00437B11" w:rsidRDefault="00437B11" w:rsidP="00700BFC">
      <w:pPr>
        <w:spacing w:after="0" w:line="360" w:lineRule="auto"/>
        <w:jc w:val="both"/>
        <w:rPr>
          <w:rFonts w:eastAsia="Times New Roman" w:cstheme="minorHAnsi"/>
          <w:b/>
          <w:bCs/>
          <w:color w:val="222222"/>
          <w:sz w:val="24"/>
          <w:szCs w:val="24"/>
        </w:rPr>
      </w:pPr>
    </w:p>
    <w:p w:rsidR="00437B11" w:rsidRDefault="00437B11" w:rsidP="00700BFC">
      <w:pPr>
        <w:spacing w:after="0" w:line="360" w:lineRule="auto"/>
        <w:jc w:val="both"/>
        <w:rPr>
          <w:rFonts w:eastAsia="Times New Roman" w:cstheme="minorHAnsi"/>
          <w:b/>
          <w:bCs/>
          <w:color w:val="222222"/>
          <w:sz w:val="24"/>
          <w:szCs w:val="24"/>
        </w:rPr>
      </w:pPr>
    </w:p>
    <w:p w:rsidR="007A04DD" w:rsidRDefault="007A04DD" w:rsidP="00700BFC">
      <w:pPr>
        <w:spacing w:after="0" w:line="360" w:lineRule="auto"/>
        <w:jc w:val="both"/>
        <w:rPr>
          <w:rFonts w:eastAsia="Times New Roman" w:cstheme="minorHAnsi"/>
          <w:b/>
          <w:bCs/>
          <w:color w:val="222222"/>
          <w:sz w:val="24"/>
          <w:szCs w:val="24"/>
        </w:rPr>
      </w:pPr>
    </w:p>
    <w:p w:rsidR="002A3C1F" w:rsidRPr="00B21D26" w:rsidRDefault="002A3C1F" w:rsidP="00700BFC">
      <w:pPr>
        <w:spacing w:after="0" w:line="360" w:lineRule="auto"/>
        <w:jc w:val="both"/>
        <w:rPr>
          <w:rFonts w:eastAsia="Times New Roman" w:cstheme="minorHAnsi"/>
          <w:b/>
          <w:bCs/>
          <w:color w:val="222222"/>
          <w:sz w:val="24"/>
          <w:szCs w:val="24"/>
        </w:rPr>
      </w:pPr>
      <w:r w:rsidRPr="00B21D26">
        <w:rPr>
          <w:rFonts w:eastAsia="Times New Roman" w:cstheme="minorHAnsi"/>
          <w:b/>
          <w:bCs/>
          <w:color w:val="222222"/>
          <w:sz w:val="24"/>
          <w:szCs w:val="24"/>
        </w:rPr>
        <w:lastRenderedPageBreak/>
        <w:t xml:space="preserve">Τα σημαντικότερα ευρήματα της </w:t>
      </w:r>
      <w:r w:rsidR="007A04DD">
        <w:rPr>
          <w:rFonts w:eastAsia="Times New Roman" w:cstheme="minorHAnsi"/>
          <w:b/>
          <w:bCs/>
          <w:color w:val="222222"/>
          <w:sz w:val="24"/>
          <w:szCs w:val="24"/>
        </w:rPr>
        <w:t xml:space="preserve">εξαμηνιαίας </w:t>
      </w:r>
      <w:r w:rsidRPr="00B21D26">
        <w:rPr>
          <w:rFonts w:eastAsia="Times New Roman" w:cstheme="minorHAnsi"/>
          <w:b/>
          <w:bCs/>
          <w:color w:val="222222"/>
          <w:sz w:val="24"/>
          <w:szCs w:val="24"/>
        </w:rPr>
        <w:t>έρευνας κλίματος του ΙΜΕ ΓΣΕΒΕΕ είναι τα εξής:</w:t>
      </w:r>
    </w:p>
    <w:p w:rsidR="00B0306B" w:rsidRPr="00B21D26" w:rsidRDefault="0071365A" w:rsidP="00700BFC">
      <w:pPr>
        <w:spacing w:after="0" w:line="360" w:lineRule="auto"/>
        <w:jc w:val="both"/>
        <w:rPr>
          <w:rFonts w:eastAsia="Times New Roman" w:cstheme="minorHAnsi"/>
          <w:b/>
          <w:bCs/>
          <w:color w:val="222222"/>
          <w:sz w:val="24"/>
          <w:szCs w:val="24"/>
        </w:rPr>
      </w:pPr>
      <w:r>
        <w:rPr>
          <w:rFonts w:eastAsia="Times New Roman" w:cstheme="minorHAnsi"/>
          <w:b/>
          <w:bCs/>
          <w:color w:val="222222"/>
          <w:sz w:val="24"/>
          <w:szCs w:val="24"/>
        </w:rPr>
        <w:t xml:space="preserve">Α) </w:t>
      </w:r>
      <w:r w:rsidR="00B0306B" w:rsidRPr="00B21D26">
        <w:rPr>
          <w:rFonts w:eastAsia="Times New Roman" w:cstheme="minorHAnsi"/>
          <w:b/>
          <w:bCs/>
          <w:color w:val="222222"/>
          <w:sz w:val="24"/>
          <w:szCs w:val="24"/>
        </w:rPr>
        <w:t>Αποτίμηση πρώτου εξαμήνου 2022</w:t>
      </w:r>
    </w:p>
    <w:p w:rsidR="00B0306B" w:rsidRPr="00B21D26" w:rsidRDefault="00B0306B" w:rsidP="00700BFC">
      <w:pPr>
        <w:spacing w:after="0" w:line="360" w:lineRule="auto"/>
        <w:rPr>
          <w:rFonts w:cstheme="minorHAnsi"/>
          <w:b/>
          <w:sz w:val="24"/>
          <w:szCs w:val="24"/>
          <w:u w:val="single"/>
        </w:rPr>
      </w:pPr>
      <w:r w:rsidRPr="00B21D26">
        <w:rPr>
          <w:rFonts w:cstheme="minorHAnsi"/>
          <w:b/>
          <w:sz w:val="24"/>
          <w:szCs w:val="24"/>
          <w:u w:val="single"/>
        </w:rPr>
        <w:t>Δείκτης οικονομικού κλίματος</w:t>
      </w:r>
    </w:p>
    <w:p w:rsidR="00526D7A" w:rsidRPr="00B21D26" w:rsidRDefault="00906086" w:rsidP="00700BFC">
      <w:pPr>
        <w:pStyle w:val="a3"/>
        <w:numPr>
          <w:ilvl w:val="0"/>
          <w:numId w:val="4"/>
        </w:numPr>
        <w:spacing w:after="0" w:line="360" w:lineRule="auto"/>
        <w:jc w:val="both"/>
        <w:rPr>
          <w:rFonts w:cstheme="minorHAnsi"/>
          <w:sz w:val="24"/>
          <w:szCs w:val="24"/>
        </w:rPr>
      </w:pPr>
      <w:r w:rsidRPr="00B21D26">
        <w:rPr>
          <w:rFonts w:eastAsia="Times New Roman" w:cstheme="minorHAnsi"/>
          <w:color w:val="222222"/>
          <w:sz w:val="24"/>
          <w:szCs w:val="24"/>
        </w:rPr>
        <w:t xml:space="preserve">Ο Δείκτης Οικονομικού Κλίματος των μικρών και πολύ μικρών επιχειρήσεων ενισχύθηκε </w:t>
      </w:r>
      <w:r w:rsidR="00526D7A" w:rsidRPr="00B21D26">
        <w:rPr>
          <w:rFonts w:eastAsia="Times New Roman" w:cstheme="minorHAnsi"/>
          <w:color w:val="222222"/>
          <w:sz w:val="24"/>
          <w:szCs w:val="24"/>
        </w:rPr>
        <w:t xml:space="preserve">για τρίτο συνεχόμενο εξάμηνο </w:t>
      </w:r>
      <w:r w:rsidRPr="00B21D26">
        <w:rPr>
          <w:rFonts w:eastAsia="Times New Roman" w:cstheme="minorHAnsi"/>
          <w:color w:val="222222"/>
          <w:sz w:val="24"/>
          <w:szCs w:val="24"/>
        </w:rPr>
        <w:t>και διαμορφώθηκε στις 54,3 μονάδες.</w:t>
      </w:r>
      <w:r w:rsidR="00526D7A" w:rsidRPr="00B21D26">
        <w:rPr>
          <w:rFonts w:eastAsia="Times New Roman" w:cstheme="minorHAnsi"/>
          <w:color w:val="222222"/>
          <w:sz w:val="24"/>
          <w:szCs w:val="24"/>
        </w:rPr>
        <w:t xml:space="preserve"> </w:t>
      </w:r>
    </w:p>
    <w:p w:rsidR="00B0306B" w:rsidRPr="00B21D26" w:rsidRDefault="00906086" w:rsidP="00700BFC">
      <w:pPr>
        <w:pStyle w:val="a3"/>
        <w:numPr>
          <w:ilvl w:val="0"/>
          <w:numId w:val="4"/>
        </w:numPr>
        <w:spacing w:after="0" w:line="360" w:lineRule="auto"/>
        <w:jc w:val="both"/>
        <w:rPr>
          <w:rFonts w:cstheme="minorHAnsi"/>
          <w:sz w:val="24"/>
          <w:szCs w:val="24"/>
        </w:rPr>
      </w:pPr>
      <w:r w:rsidRPr="00B21D26">
        <w:rPr>
          <w:rFonts w:eastAsia="Times New Roman" w:cstheme="minorHAnsi"/>
          <w:color w:val="222222"/>
          <w:sz w:val="24"/>
          <w:szCs w:val="24"/>
        </w:rPr>
        <w:t xml:space="preserve">Ειδικότερα, το 24,2% των μικρών και πολύ μικρών επιχειρήσεων δήλωσε πως η κατάσταση </w:t>
      </w:r>
      <w:r w:rsidR="0045324D">
        <w:rPr>
          <w:rFonts w:eastAsia="Times New Roman" w:cstheme="minorHAnsi"/>
          <w:color w:val="222222"/>
          <w:sz w:val="24"/>
          <w:szCs w:val="24"/>
        </w:rPr>
        <w:t>τους</w:t>
      </w:r>
      <w:r w:rsidRPr="00B21D26">
        <w:rPr>
          <w:rFonts w:eastAsia="Times New Roman" w:cstheme="minorHAnsi"/>
          <w:color w:val="222222"/>
          <w:sz w:val="24"/>
          <w:szCs w:val="24"/>
        </w:rPr>
        <w:t xml:space="preserve"> βελτιώθηκε και το 29,1% πως παρέμεινε αμε</w:t>
      </w:r>
      <w:r w:rsidR="004E11B6">
        <w:rPr>
          <w:rFonts w:eastAsia="Times New Roman" w:cstheme="minorHAnsi"/>
          <w:color w:val="222222"/>
          <w:sz w:val="24"/>
          <w:szCs w:val="24"/>
        </w:rPr>
        <w:t>τάβλητη. Από την άλλη μεριά το</w:t>
      </w:r>
      <w:r w:rsidRPr="00B21D26">
        <w:rPr>
          <w:rFonts w:eastAsia="Times New Roman" w:cstheme="minorHAnsi"/>
          <w:color w:val="222222"/>
          <w:sz w:val="24"/>
          <w:szCs w:val="24"/>
        </w:rPr>
        <w:t xml:space="preserve"> 45,3% των μικρών και </w:t>
      </w:r>
      <w:r w:rsidR="0045324D">
        <w:rPr>
          <w:rFonts w:eastAsia="Times New Roman" w:cstheme="minorHAnsi"/>
          <w:color w:val="222222"/>
          <w:sz w:val="24"/>
          <w:szCs w:val="24"/>
        </w:rPr>
        <w:t xml:space="preserve">πολύ </w:t>
      </w:r>
      <w:r w:rsidRPr="00B21D26">
        <w:rPr>
          <w:rFonts w:eastAsia="Times New Roman" w:cstheme="minorHAnsi"/>
          <w:color w:val="222222"/>
          <w:sz w:val="24"/>
          <w:szCs w:val="24"/>
        </w:rPr>
        <w:t>μικρών επιχειρήσεων δήλωσε πως η κατάστασή του επιδεινώθηκε.</w:t>
      </w:r>
    </w:p>
    <w:p w:rsidR="002A3C1F" w:rsidRPr="00B21D26" w:rsidRDefault="002A3C1F" w:rsidP="00700BFC">
      <w:pPr>
        <w:spacing w:after="0" w:line="360" w:lineRule="auto"/>
        <w:rPr>
          <w:rFonts w:cstheme="minorHAnsi"/>
          <w:b/>
          <w:sz w:val="24"/>
          <w:szCs w:val="24"/>
          <w:u w:val="single"/>
        </w:rPr>
      </w:pPr>
      <w:r w:rsidRPr="00B21D26">
        <w:rPr>
          <w:rFonts w:cstheme="minorHAnsi"/>
          <w:b/>
          <w:sz w:val="24"/>
          <w:szCs w:val="24"/>
          <w:u w:val="single"/>
        </w:rPr>
        <w:t>Κύκλος εργασιών</w:t>
      </w:r>
    </w:p>
    <w:p w:rsidR="002A3C1F" w:rsidRPr="00B21D26" w:rsidRDefault="002A3C1F" w:rsidP="00700BFC">
      <w:pPr>
        <w:pStyle w:val="a3"/>
        <w:numPr>
          <w:ilvl w:val="0"/>
          <w:numId w:val="4"/>
        </w:numPr>
        <w:spacing w:after="0" w:line="360" w:lineRule="auto"/>
        <w:jc w:val="both"/>
        <w:rPr>
          <w:rFonts w:cstheme="minorHAnsi"/>
          <w:sz w:val="24"/>
          <w:szCs w:val="24"/>
        </w:rPr>
      </w:pPr>
      <w:r w:rsidRPr="00B21D26">
        <w:rPr>
          <w:rFonts w:eastAsia="Times New Roman" w:cstheme="minorHAnsi"/>
          <w:color w:val="222222"/>
          <w:sz w:val="24"/>
          <w:szCs w:val="24"/>
        </w:rPr>
        <w:t xml:space="preserve">Για το 1ο εξάμηνο του 2022 το </w:t>
      </w:r>
      <w:r w:rsidR="009E2FAC" w:rsidRPr="00B21D26">
        <w:rPr>
          <w:rFonts w:eastAsia="Times New Roman" w:cstheme="minorHAnsi"/>
          <w:color w:val="222222"/>
          <w:sz w:val="24"/>
          <w:szCs w:val="24"/>
        </w:rPr>
        <w:t xml:space="preserve">24,2% των μικρών και </w:t>
      </w:r>
      <w:r w:rsidR="0045324D">
        <w:rPr>
          <w:rFonts w:eastAsia="Times New Roman" w:cstheme="minorHAnsi"/>
          <w:color w:val="222222"/>
          <w:sz w:val="24"/>
          <w:szCs w:val="24"/>
        </w:rPr>
        <w:t>πολύ μικρών επιχειρήσεων δήλωσε ότι κατέγραψε</w:t>
      </w:r>
      <w:r w:rsidR="009E2FAC" w:rsidRPr="00B21D26">
        <w:rPr>
          <w:rFonts w:eastAsia="Times New Roman" w:cstheme="minorHAnsi"/>
          <w:color w:val="222222"/>
          <w:sz w:val="24"/>
          <w:szCs w:val="24"/>
        </w:rPr>
        <w:t xml:space="preserve"> αύξηση του κύκλου εργασιών, το 26,8% δήλωσε ότι παρέμεινε σταθερός, ενώ το </w:t>
      </w:r>
      <w:r w:rsidRPr="00B21D26">
        <w:rPr>
          <w:rFonts w:eastAsia="Times New Roman" w:cstheme="minorHAnsi"/>
          <w:color w:val="222222"/>
          <w:sz w:val="24"/>
          <w:szCs w:val="24"/>
        </w:rPr>
        <w:t xml:space="preserve">46,3% </w:t>
      </w:r>
      <w:r w:rsidR="009E2FAC" w:rsidRPr="00B21D26">
        <w:rPr>
          <w:rFonts w:eastAsia="Times New Roman" w:cstheme="minorHAnsi"/>
          <w:color w:val="222222"/>
          <w:sz w:val="24"/>
          <w:szCs w:val="24"/>
        </w:rPr>
        <w:t>δήλωσε μείωση</w:t>
      </w:r>
      <w:r w:rsidRPr="00B21D26">
        <w:rPr>
          <w:rFonts w:eastAsia="Times New Roman" w:cstheme="minorHAnsi"/>
          <w:color w:val="222222"/>
          <w:sz w:val="24"/>
          <w:szCs w:val="24"/>
        </w:rPr>
        <w:t xml:space="preserve"> του κύκλου εργασιών. </w:t>
      </w:r>
    </w:p>
    <w:p w:rsidR="002A3C1F" w:rsidRPr="00B21D26" w:rsidRDefault="002A3C1F" w:rsidP="00700BFC">
      <w:pPr>
        <w:pStyle w:val="a3"/>
        <w:numPr>
          <w:ilvl w:val="0"/>
          <w:numId w:val="4"/>
        </w:numPr>
        <w:spacing w:after="0" w:line="360" w:lineRule="auto"/>
        <w:jc w:val="both"/>
        <w:rPr>
          <w:rFonts w:cstheme="minorHAnsi"/>
          <w:sz w:val="24"/>
          <w:szCs w:val="24"/>
        </w:rPr>
      </w:pPr>
      <w:r w:rsidRPr="00B21D26">
        <w:rPr>
          <w:rFonts w:cstheme="minorHAnsi"/>
          <w:sz w:val="24"/>
          <w:szCs w:val="24"/>
        </w:rPr>
        <w:t xml:space="preserve">Για τις επιχειρήσεις που δήλωσαν αύξηση </w:t>
      </w:r>
      <w:r w:rsidR="0045324D">
        <w:rPr>
          <w:rFonts w:cstheme="minorHAnsi"/>
          <w:sz w:val="24"/>
          <w:szCs w:val="24"/>
        </w:rPr>
        <w:t>κύκλου εργασιών</w:t>
      </w:r>
      <w:r w:rsidRPr="00B21D26">
        <w:rPr>
          <w:rFonts w:cstheme="minorHAnsi"/>
          <w:sz w:val="24"/>
          <w:szCs w:val="24"/>
        </w:rPr>
        <w:t xml:space="preserve"> (</w:t>
      </w:r>
      <w:r w:rsidR="009E2FAC" w:rsidRPr="00B21D26">
        <w:rPr>
          <w:rFonts w:eastAsia="Times New Roman" w:cstheme="minorHAnsi"/>
          <w:color w:val="222222"/>
          <w:sz w:val="24"/>
          <w:szCs w:val="24"/>
        </w:rPr>
        <w:t>24,2</w:t>
      </w:r>
      <w:r w:rsidRPr="00B21D26">
        <w:rPr>
          <w:rFonts w:eastAsia="Times New Roman" w:cstheme="minorHAnsi"/>
          <w:color w:val="222222"/>
          <w:sz w:val="24"/>
          <w:szCs w:val="24"/>
        </w:rPr>
        <w:t>%) ο μέσος όρος αύξησης ήταν 22,4%</w:t>
      </w:r>
      <w:r w:rsidR="009E2FAC" w:rsidRPr="00B21D26">
        <w:rPr>
          <w:rFonts w:eastAsia="Times New Roman" w:cstheme="minorHAnsi"/>
          <w:color w:val="222222"/>
          <w:sz w:val="24"/>
          <w:szCs w:val="24"/>
        </w:rPr>
        <w:t>,</w:t>
      </w:r>
      <w:r w:rsidRPr="00B21D26">
        <w:rPr>
          <w:rFonts w:eastAsia="Times New Roman" w:cstheme="minorHAnsi"/>
          <w:color w:val="222222"/>
          <w:sz w:val="24"/>
          <w:szCs w:val="24"/>
        </w:rPr>
        <w:t xml:space="preserve"> ενώ για τις επιχειρήσεις που δήλωσαν μείωση </w:t>
      </w:r>
      <w:r w:rsidR="0045324D">
        <w:rPr>
          <w:rFonts w:eastAsia="Times New Roman" w:cstheme="minorHAnsi"/>
          <w:color w:val="222222"/>
          <w:sz w:val="24"/>
          <w:szCs w:val="24"/>
        </w:rPr>
        <w:t>κύκλου εργασιών</w:t>
      </w:r>
      <w:r w:rsidRPr="00B21D26">
        <w:rPr>
          <w:rFonts w:eastAsia="Times New Roman" w:cstheme="minorHAnsi"/>
          <w:color w:val="222222"/>
          <w:sz w:val="24"/>
          <w:szCs w:val="24"/>
        </w:rPr>
        <w:t xml:space="preserve"> (</w:t>
      </w:r>
      <w:r w:rsidR="009E2FAC" w:rsidRPr="00B21D26">
        <w:rPr>
          <w:rFonts w:eastAsia="Times New Roman" w:cstheme="minorHAnsi"/>
          <w:color w:val="222222"/>
          <w:sz w:val="24"/>
          <w:szCs w:val="24"/>
        </w:rPr>
        <w:t>46,3%</w:t>
      </w:r>
      <w:r w:rsidRPr="00B21D26">
        <w:rPr>
          <w:rFonts w:eastAsia="Times New Roman" w:cstheme="minorHAnsi"/>
          <w:color w:val="222222"/>
          <w:sz w:val="24"/>
          <w:szCs w:val="24"/>
        </w:rPr>
        <w:t>) ο μέσος όρος μείωσης ήταν 33,9%.</w:t>
      </w:r>
    </w:p>
    <w:p w:rsidR="002A3C1F" w:rsidRPr="00B21D26" w:rsidRDefault="002A3C1F" w:rsidP="00700BFC">
      <w:pPr>
        <w:pStyle w:val="a3"/>
        <w:numPr>
          <w:ilvl w:val="0"/>
          <w:numId w:val="4"/>
        </w:numPr>
        <w:spacing w:after="0" w:line="360" w:lineRule="auto"/>
        <w:jc w:val="both"/>
        <w:rPr>
          <w:rFonts w:cstheme="minorHAnsi"/>
          <w:sz w:val="24"/>
          <w:szCs w:val="24"/>
        </w:rPr>
      </w:pPr>
      <w:r w:rsidRPr="00B21D26">
        <w:rPr>
          <w:rFonts w:cstheme="minorHAnsi"/>
          <w:sz w:val="24"/>
          <w:szCs w:val="24"/>
        </w:rPr>
        <w:t>Η εικόνα είναι καλύτερη για τη μεταποίηση και τις υπηρεσίες και σαφώς χειρότερη είναι στο εμπόριο</w:t>
      </w:r>
      <w:r w:rsidR="0045324D">
        <w:rPr>
          <w:rFonts w:cstheme="minorHAnsi"/>
          <w:sz w:val="24"/>
          <w:szCs w:val="24"/>
        </w:rPr>
        <w:t>,</w:t>
      </w:r>
      <w:r w:rsidRPr="00B21D26">
        <w:rPr>
          <w:rFonts w:cstheme="minorHAnsi"/>
          <w:sz w:val="24"/>
          <w:szCs w:val="24"/>
        </w:rPr>
        <w:t xml:space="preserve"> ενώ ο κλάδος της εστίασης </w:t>
      </w:r>
      <w:r w:rsidR="00C721D3">
        <w:rPr>
          <w:rFonts w:cstheme="minorHAnsi"/>
          <w:sz w:val="24"/>
          <w:szCs w:val="24"/>
        </w:rPr>
        <w:t>παρουσιάζει πολύ</w:t>
      </w:r>
      <w:r w:rsidR="009E2FAC" w:rsidRPr="00B21D26">
        <w:rPr>
          <w:rFonts w:cstheme="minorHAnsi"/>
          <w:sz w:val="24"/>
          <w:szCs w:val="24"/>
        </w:rPr>
        <w:t xml:space="preserve"> χειρότερα στοιχεία </w:t>
      </w:r>
      <w:r w:rsidRPr="00B21D26">
        <w:rPr>
          <w:rFonts w:cstheme="minorHAnsi"/>
          <w:sz w:val="24"/>
          <w:szCs w:val="24"/>
        </w:rPr>
        <w:t>σε σχέση</w:t>
      </w:r>
      <w:r w:rsidR="00C721D3">
        <w:rPr>
          <w:rFonts w:cstheme="minorHAnsi"/>
          <w:sz w:val="24"/>
          <w:szCs w:val="24"/>
        </w:rPr>
        <w:t xml:space="preserve"> με</w:t>
      </w:r>
      <w:r w:rsidRPr="00B21D26">
        <w:rPr>
          <w:rFonts w:cstheme="minorHAnsi"/>
          <w:sz w:val="24"/>
          <w:szCs w:val="24"/>
        </w:rPr>
        <w:t xml:space="preserve"> </w:t>
      </w:r>
      <w:r w:rsidR="0045324D">
        <w:rPr>
          <w:rFonts w:cstheme="minorHAnsi"/>
          <w:sz w:val="24"/>
          <w:szCs w:val="24"/>
        </w:rPr>
        <w:t xml:space="preserve">όλες </w:t>
      </w:r>
      <w:r w:rsidR="00A17F23" w:rsidRPr="00B21D26">
        <w:rPr>
          <w:rFonts w:cstheme="minorHAnsi"/>
          <w:sz w:val="24"/>
          <w:szCs w:val="24"/>
        </w:rPr>
        <w:t xml:space="preserve">τις υπόλοιπες επιχειρήσεις. </w:t>
      </w:r>
    </w:p>
    <w:p w:rsidR="002A3C1F" w:rsidRPr="00B21D26" w:rsidRDefault="002A3C1F" w:rsidP="00700BFC">
      <w:pPr>
        <w:pStyle w:val="a3"/>
        <w:numPr>
          <w:ilvl w:val="0"/>
          <w:numId w:val="4"/>
        </w:numPr>
        <w:spacing w:after="0" w:line="360" w:lineRule="auto"/>
        <w:jc w:val="both"/>
        <w:rPr>
          <w:rFonts w:cstheme="minorHAnsi"/>
          <w:sz w:val="24"/>
          <w:szCs w:val="24"/>
        </w:rPr>
      </w:pPr>
      <w:r w:rsidRPr="00B21D26">
        <w:rPr>
          <w:rFonts w:cstheme="minorHAnsi"/>
          <w:sz w:val="24"/>
          <w:szCs w:val="24"/>
        </w:rPr>
        <w:t>Οι μ</w:t>
      </w:r>
      <w:r w:rsidR="009E2FAC" w:rsidRPr="00B21D26">
        <w:rPr>
          <w:rFonts w:cstheme="minorHAnsi"/>
          <w:sz w:val="24"/>
          <w:szCs w:val="24"/>
        </w:rPr>
        <w:t>εγαλύτερες</w:t>
      </w:r>
      <w:r w:rsidRPr="00B21D26">
        <w:rPr>
          <w:rFonts w:cstheme="minorHAnsi"/>
          <w:sz w:val="24"/>
          <w:szCs w:val="24"/>
        </w:rPr>
        <w:t xml:space="preserve"> επιχειρήσεις που δήλωσαν αύξηση </w:t>
      </w:r>
      <w:r w:rsidR="0045324D">
        <w:rPr>
          <w:rFonts w:cstheme="minorHAnsi"/>
          <w:sz w:val="24"/>
          <w:szCs w:val="24"/>
        </w:rPr>
        <w:t>κύκλου εργασιών</w:t>
      </w:r>
      <w:r w:rsidRPr="00B21D26">
        <w:rPr>
          <w:rFonts w:cstheme="minorHAnsi"/>
          <w:sz w:val="24"/>
          <w:szCs w:val="24"/>
        </w:rPr>
        <w:t xml:space="preserve"> είναι αναλογικά περισσότερες σε σχέση με τις μικρ</w:t>
      </w:r>
      <w:r w:rsidR="009E2FAC" w:rsidRPr="00B21D26">
        <w:rPr>
          <w:rFonts w:cstheme="minorHAnsi"/>
          <w:sz w:val="24"/>
          <w:szCs w:val="24"/>
        </w:rPr>
        <w:t>ότερες</w:t>
      </w:r>
      <w:r w:rsidRPr="00B21D26">
        <w:rPr>
          <w:rFonts w:cstheme="minorHAnsi"/>
          <w:sz w:val="24"/>
          <w:szCs w:val="24"/>
        </w:rPr>
        <w:t xml:space="preserve"> επιχειρήσεις ενώ το αντίστροφο ισχύει για όσες δήλωσαν μείωση. </w:t>
      </w:r>
    </w:p>
    <w:p w:rsidR="002A3C1F" w:rsidRPr="00B21D26" w:rsidRDefault="002A3C1F" w:rsidP="00700BFC">
      <w:pPr>
        <w:spacing w:after="0" w:line="360" w:lineRule="auto"/>
        <w:rPr>
          <w:rFonts w:cstheme="minorHAnsi"/>
          <w:b/>
          <w:sz w:val="24"/>
          <w:szCs w:val="24"/>
          <w:u w:val="single"/>
        </w:rPr>
      </w:pPr>
      <w:r w:rsidRPr="00B21D26">
        <w:rPr>
          <w:rFonts w:cstheme="minorHAnsi"/>
          <w:b/>
          <w:sz w:val="24"/>
          <w:szCs w:val="24"/>
          <w:u w:val="single"/>
        </w:rPr>
        <w:t>Ζήτηση – Παραγγελίες προς προμηθευτές</w:t>
      </w:r>
    </w:p>
    <w:p w:rsidR="002A3C1F" w:rsidRPr="00B21D26" w:rsidRDefault="00A17F23" w:rsidP="00700BFC">
      <w:pPr>
        <w:pStyle w:val="a3"/>
        <w:numPr>
          <w:ilvl w:val="0"/>
          <w:numId w:val="4"/>
        </w:numPr>
        <w:spacing w:after="0" w:line="360" w:lineRule="auto"/>
        <w:jc w:val="both"/>
        <w:rPr>
          <w:rFonts w:cstheme="minorHAnsi"/>
          <w:sz w:val="24"/>
          <w:szCs w:val="24"/>
        </w:rPr>
      </w:pPr>
      <w:r w:rsidRPr="00B21D26">
        <w:rPr>
          <w:rFonts w:cstheme="minorHAnsi"/>
          <w:sz w:val="24"/>
          <w:szCs w:val="24"/>
        </w:rPr>
        <w:t xml:space="preserve">Το 28,2% των μικρών και </w:t>
      </w:r>
      <w:r w:rsidR="00C721D3">
        <w:rPr>
          <w:rFonts w:cstheme="minorHAnsi"/>
          <w:sz w:val="24"/>
          <w:szCs w:val="24"/>
        </w:rPr>
        <w:t>πολύ μικρών επιχειρήσεων δήλωσε</w:t>
      </w:r>
      <w:r w:rsidRPr="00B21D26">
        <w:rPr>
          <w:rFonts w:cstheme="minorHAnsi"/>
          <w:sz w:val="24"/>
          <w:szCs w:val="24"/>
        </w:rPr>
        <w:t xml:space="preserve"> αύξηση της ζήτησης, το 26,3% δήλωσε πως παρέμενε η ίδια, ενώ τ</w:t>
      </w:r>
      <w:r w:rsidR="009E2FAC" w:rsidRPr="00B21D26">
        <w:rPr>
          <w:rFonts w:cstheme="minorHAnsi"/>
          <w:sz w:val="24"/>
          <w:szCs w:val="24"/>
        </w:rPr>
        <w:t xml:space="preserve">ο </w:t>
      </w:r>
      <w:r w:rsidR="002A3C1F" w:rsidRPr="00B21D26">
        <w:rPr>
          <w:rFonts w:cstheme="minorHAnsi"/>
          <w:sz w:val="24"/>
          <w:szCs w:val="24"/>
        </w:rPr>
        <w:t xml:space="preserve">44,8% </w:t>
      </w:r>
      <w:r w:rsidRPr="00B21D26">
        <w:rPr>
          <w:rFonts w:cstheme="minorHAnsi"/>
          <w:sz w:val="24"/>
          <w:szCs w:val="24"/>
        </w:rPr>
        <w:t>δήλωσε</w:t>
      </w:r>
      <w:r w:rsidR="002A3C1F" w:rsidRPr="00B21D26">
        <w:rPr>
          <w:rFonts w:cstheme="minorHAnsi"/>
          <w:sz w:val="24"/>
          <w:szCs w:val="24"/>
        </w:rPr>
        <w:t xml:space="preserve"> ότι </w:t>
      </w:r>
      <w:r w:rsidRPr="00B21D26">
        <w:rPr>
          <w:rFonts w:cstheme="minorHAnsi"/>
          <w:sz w:val="24"/>
          <w:szCs w:val="24"/>
        </w:rPr>
        <w:t>μειώθηκε</w:t>
      </w:r>
      <w:r w:rsidR="00A00FA8">
        <w:rPr>
          <w:rFonts w:cstheme="minorHAnsi"/>
          <w:sz w:val="24"/>
          <w:szCs w:val="24"/>
        </w:rPr>
        <w:t>.</w:t>
      </w:r>
    </w:p>
    <w:p w:rsidR="002A3C1F" w:rsidRPr="00B21D26" w:rsidRDefault="002A3C1F" w:rsidP="00700BFC">
      <w:pPr>
        <w:pStyle w:val="a3"/>
        <w:numPr>
          <w:ilvl w:val="0"/>
          <w:numId w:val="4"/>
        </w:numPr>
        <w:spacing w:after="0" w:line="360" w:lineRule="auto"/>
        <w:jc w:val="both"/>
        <w:rPr>
          <w:rFonts w:cstheme="minorHAnsi"/>
          <w:sz w:val="24"/>
          <w:szCs w:val="24"/>
        </w:rPr>
      </w:pPr>
      <w:r w:rsidRPr="00B21D26">
        <w:rPr>
          <w:rFonts w:cstheme="minorHAnsi"/>
          <w:sz w:val="24"/>
          <w:szCs w:val="24"/>
        </w:rPr>
        <w:t xml:space="preserve">Οι μεγαλύτερες επιχειρήσεις καθώς και αυτές που ανήκουν σε νησιωτικές περιοχές παρουσιάζουν καλύτερη εικόνα σε σχέση με τις υπόλοιπες ως προς την ζήτηση. </w:t>
      </w:r>
    </w:p>
    <w:p w:rsidR="002A3C1F" w:rsidRPr="00B21D26" w:rsidRDefault="00A17F23" w:rsidP="00700BFC">
      <w:pPr>
        <w:pStyle w:val="a3"/>
        <w:numPr>
          <w:ilvl w:val="0"/>
          <w:numId w:val="4"/>
        </w:numPr>
        <w:spacing w:after="0" w:line="360" w:lineRule="auto"/>
        <w:jc w:val="both"/>
        <w:rPr>
          <w:rFonts w:eastAsia="Calibri" w:cstheme="minorHAnsi"/>
          <w:sz w:val="24"/>
          <w:szCs w:val="24"/>
        </w:rPr>
      </w:pPr>
      <w:r w:rsidRPr="00B21D26">
        <w:rPr>
          <w:rFonts w:cstheme="minorHAnsi"/>
          <w:sz w:val="24"/>
          <w:szCs w:val="24"/>
        </w:rPr>
        <w:t>Το 25% των μικρών και πολύ μικρών επιχ</w:t>
      </w:r>
      <w:r w:rsidR="00C721D3">
        <w:rPr>
          <w:rFonts w:cstheme="minorHAnsi"/>
          <w:sz w:val="24"/>
          <w:szCs w:val="24"/>
        </w:rPr>
        <w:t xml:space="preserve">ειρήσεων δήλωσε αύξηση των παραγγελιών </w:t>
      </w:r>
      <w:r w:rsidRPr="00B21D26">
        <w:rPr>
          <w:rFonts w:cstheme="minorHAnsi"/>
          <w:sz w:val="24"/>
          <w:szCs w:val="24"/>
        </w:rPr>
        <w:t xml:space="preserve">προς προμηθευτές, το 27,1% δήλωσε πως έμειναν οι ίδιες, ενώ το 46,6% μείωσε τις παραγγελίες του. </w:t>
      </w:r>
    </w:p>
    <w:p w:rsidR="002A3C1F" w:rsidRPr="00023631" w:rsidRDefault="002A3C1F" w:rsidP="00700BFC">
      <w:pPr>
        <w:spacing w:after="0" w:line="360" w:lineRule="auto"/>
        <w:rPr>
          <w:rFonts w:cstheme="minorHAnsi"/>
          <w:b/>
          <w:sz w:val="24"/>
          <w:szCs w:val="24"/>
          <w:u w:val="single"/>
        </w:rPr>
      </w:pPr>
      <w:r w:rsidRPr="00B21D26">
        <w:rPr>
          <w:rFonts w:cstheme="minorHAnsi"/>
          <w:b/>
          <w:sz w:val="24"/>
          <w:szCs w:val="24"/>
          <w:u w:val="single"/>
        </w:rPr>
        <w:t>Ρευστότητα – Ταμειακά διαθέσιμα</w:t>
      </w:r>
    </w:p>
    <w:p w:rsidR="002A3C1F" w:rsidRPr="00B21D26" w:rsidRDefault="00A17F23" w:rsidP="00700BFC">
      <w:pPr>
        <w:pStyle w:val="a3"/>
        <w:numPr>
          <w:ilvl w:val="0"/>
          <w:numId w:val="4"/>
        </w:numPr>
        <w:spacing w:after="0" w:line="360" w:lineRule="auto"/>
        <w:jc w:val="both"/>
        <w:rPr>
          <w:rFonts w:cstheme="minorHAnsi"/>
          <w:sz w:val="24"/>
          <w:szCs w:val="24"/>
        </w:rPr>
      </w:pPr>
      <w:r w:rsidRPr="00B21D26">
        <w:rPr>
          <w:rFonts w:cstheme="minorHAnsi"/>
          <w:sz w:val="24"/>
          <w:szCs w:val="24"/>
        </w:rPr>
        <w:t>Περισσότερες από 1 στις 2 μικρές και πολύ μικρές επιχειρήσεις (</w:t>
      </w:r>
      <w:r w:rsidR="002A3C1F" w:rsidRPr="00B21D26">
        <w:rPr>
          <w:rFonts w:cstheme="minorHAnsi"/>
          <w:sz w:val="24"/>
          <w:szCs w:val="24"/>
        </w:rPr>
        <w:t>52,7%</w:t>
      </w:r>
      <w:r w:rsidRPr="00B21D26">
        <w:rPr>
          <w:rFonts w:cstheme="minorHAnsi"/>
          <w:sz w:val="24"/>
          <w:szCs w:val="24"/>
        </w:rPr>
        <w:t>)</w:t>
      </w:r>
      <w:r w:rsidR="002A3C1F" w:rsidRPr="00B21D26">
        <w:rPr>
          <w:rFonts w:cstheme="minorHAnsi"/>
          <w:sz w:val="24"/>
          <w:szCs w:val="24"/>
        </w:rPr>
        <w:t xml:space="preserve"> δήλωσαν μείωση των ρευστών διαθεσίμων τους </w:t>
      </w:r>
      <w:r w:rsidR="00EF4AA8" w:rsidRPr="00B21D26">
        <w:rPr>
          <w:rFonts w:cstheme="minorHAnsi"/>
          <w:sz w:val="24"/>
          <w:szCs w:val="24"/>
        </w:rPr>
        <w:t>σε αντίθεση με το</w:t>
      </w:r>
      <w:r w:rsidR="002A3C1F" w:rsidRPr="00B21D26">
        <w:rPr>
          <w:rFonts w:cstheme="minorHAnsi"/>
          <w:sz w:val="24"/>
          <w:szCs w:val="24"/>
        </w:rPr>
        <w:t xml:space="preserve"> 22% </w:t>
      </w:r>
      <w:r w:rsidR="00EF4AA8" w:rsidRPr="00B21D26">
        <w:rPr>
          <w:rFonts w:cstheme="minorHAnsi"/>
          <w:sz w:val="24"/>
          <w:szCs w:val="24"/>
        </w:rPr>
        <w:t>που αυξήθηκαν</w:t>
      </w:r>
      <w:r w:rsidR="002A3C1F" w:rsidRPr="00B21D26">
        <w:rPr>
          <w:rFonts w:cstheme="minorHAnsi"/>
          <w:sz w:val="24"/>
          <w:szCs w:val="24"/>
        </w:rPr>
        <w:t xml:space="preserve">. </w:t>
      </w:r>
    </w:p>
    <w:p w:rsidR="002A3C1F" w:rsidRPr="00B21D26" w:rsidRDefault="002A3C1F" w:rsidP="00700BFC">
      <w:pPr>
        <w:pStyle w:val="a3"/>
        <w:numPr>
          <w:ilvl w:val="0"/>
          <w:numId w:val="4"/>
        </w:numPr>
        <w:spacing w:after="0" w:line="360" w:lineRule="auto"/>
        <w:jc w:val="both"/>
        <w:rPr>
          <w:rFonts w:cstheme="minorHAnsi"/>
          <w:sz w:val="24"/>
          <w:szCs w:val="24"/>
        </w:rPr>
      </w:pPr>
      <w:r w:rsidRPr="00B21D26">
        <w:rPr>
          <w:rFonts w:cstheme="minorHAnsi"/>
          <w:sz w:val="24"/>
          <w:szCs w:val="24"/>
        </w:rPr>
        <w:lastRenderedPageBreak/>
        <w:t>Οι μεγαλύτερες επιχειρήσεις φαίνεται να αντιμετωπίζουν μικρότερα αλλά όχι αμελητέα προβλήματα ρευστότητας σε σχέση με τις μικρότερες επιχειρήσεις ενώ καλύτερη εικόνα παρουσιάζουν και οι επιχειρήσεις σε νησιωτικές περιοχές.</w:t>
      </w:r>
      <w:r w:rsidR="00EF4AA8" w:rsidRPr="00B21D26">
        <w:rPr>
          <w:rFonts w:cstheme="minorHAnsi"/>
          <w:sz w:val="24"/>
          <w:szCs w:val="24"/>
        </w:rPr>
        <w:t xml:space="preserve"> </w:t>
      </w:r>
    </w:p>
    <w:p w:rsidR="002A3C1F" w:rsidRPr="00B21D26" w:rsidRDefault="00EF4AA8" w:rsidP="00700BFC">
      <w:pPr>
        <w:pStyle w:val="a3"/>
        <w:numPr>
          <w:ilvl w:val="0"/>
          <w:numId w:val="4"/>
        </w:numPr>
        <w:spacing w:after="0" w:line="360" w:lineRule="auto"/>
        <w:jc w:val="both"/>
        <w:rPr>
          <w:rFonts w:cstheme="minorHAnsi"/>
          <w:sz w:val="24"/>
          <w:szCs w:val="24"/>
        </w:rPr>
      </w:pPr>
      <w:r w:rsidRPr="00B21D26">
        <w:rPr>
          <w:rFonts w:eastAsia="Calibri" w:cstheme="minorHAnsi"/>
          <w:sz w:val="24"/>
          <w:szCs w:val="24"/>
        </w:rPr>
        <w:t>Περισσότερες από 1  στις 3 μικρές και πολύ μικρές επιχειρήσεις (</w:t>
      </w:r>
      <w:r w:rsidR="002A3C1F" w:rsidRPr="00B21D26">
        <w:rPr>
          <w:rFonts w:eastAsia="Calibri" w:cstheme="minorHAnsi"/>
          <w:sz w:val="24"/>
          <w:szCs w:val="24"/>
        </w:rPr>
        <w:t>37,1</w:t>
      </w:r>
      <w:r w:rsidRPr="00B21D26">
        <w:rPr>
          <w:rFonts w:eastAsia="Calibri" w:cstheme="minorHAnsi"/>
          <w:sz w:val="24"/>
          <w:szCs w:val="24"/>
        </w:rPr>
        <w:t>%)</w:t>
      </w:r>
      <w:r w:rsidR="002A3C1F" w:rsidRPr="00B21D26">
        <w:rPr>
          <w:rFonts w:eastAsia="Calibri" w:cstheme="minorHAnsi"/>
          <w:sz w:val="24"/>
          <w:szCs w:val="24"/>
        </w:rPr>
        <w:t xml:space="preserve"> δήλωσαν ότι</w:t>
      </w:r>
      <w:r w:rsidR="002B7D15">
        <w:rPr>
          <w:rFonts w:eastAsia="Calibri" w:cstheme="minorHAnsi"/>
          <w:sz w:val="24"/>
          <w:szCs w:val="24"/>
        </w:rPr>
        <w:t xml:space="preserve"> είχαν μηδενικά ρευστά διαθέσιμα </w:t>
      </w:r>
      <w:r w:rsidRPr="00B21D26">
        <w:rPr>
          <w:rFonts w:eastAsia="Calibri" w:cstheme="minorHAnsi"/>
          <w:sz w:val="24"/>
          <w:szCs w:val="24"/>
        </w:rPr>
        <w:t>(27,8%)</w:t>
      </w:r>
      <w:r w:rsidR="002A3C1F" w:rsidRPr="00B21D26">
        <w:rPr>
          <w:rFonts w:eastAsia="Calibri" w:cstheme="minorHAnsi"/>
          <w:sz w:val="24"/>
          <w:szCs w:val="24"/>
        </w:rPr>
        <w:t xml:space="preserve"> ή διαθέσιμα που επαρκού</w:t>
      </w:r>
      <w:r w:rsidRPr="00B21D26">
        <w:rPr>
          <w:rFonts w:eastAsia="Calibri" w:cstheme="minorHAnsi"/>
          <w:sz w:val="24"/>
          <w:szCs w:val="24"/>
        </w:rPr>
        <w:t>ν</w:t>
      </w:r>
      <w:r w:rsidR="002A3C1F" w:rsidRPr="00B21D26">
        <w:rPr>
          <w:rFonts w:eastAsia="Calibri" w:cstheme="minorHAnsi"/>
          <w:sz w:val="24"/>
          <w:szCs w:val="24"/>
        </w:rPr>
        <w:t xml:space="preserve"> </w:t>
      </w:r>
      <w:r w:rsidRPr="00B21D26">
        <w:rPr>
          <w:rFonts w:eastAsia="Calibri" w:cstheme="minorHAnsi"/>
          <w:sz w:val="24"/>
          <w:szCs w:val="24"/>
        </w:rPr>
        <w:t>λιγότερο από</w:t>
      </w:r>
      <w:r w:rsidR="002A3C1F" w:rsidRPr="00B21D26">
        <w:rPr>
          <w:rFonts w:eastAsia="Calibri" w:cstheme="minorHAnsi"/>
          <w:sz w:val="24"/>
          <w:szCs w:val="24"/>
        </w:rPr>
        <w:t xml:space="preserve"> μήνα</w:t>
      </w:r>
      <w:r w:rsidRPr="00B21D26">
        <w:rPr>
          <w:rFonts w:eastAsia="Calibri" w:cstheme="minorHAnsi"/>
          <w:sz w:val="24"/>
          <w:szCs w:val="24"/>
        </w:rPr>
        <w:t xml:space="preserve"> (9,2%)</w:t>
      </w:r>
      <w:r w:rsidR="002A3C1F" w:rsidRPr="00B21D26">
        <w:rPr>
          <w:rFonts w:eastAsia="Calibri" w:cstheme="minorHAnsi"/>
          <w:sz w:val="24"/>
          <w:szCs w:val="24"/>
        </w:rPr>
        <w:t>.</w:t>
      </w:r>
    </w:p>
    <w:p w:rsidR="002A3C1F" w:rsidRPr="00B21D26" w:rsidRDefault="00EF4AA8" w:rsidP="00700BFC">
      <w:pPr>
        <w:pStyle w:val="a3"/>
        <w:numPr>
          <w:ilvl w:val="0"/>
          <w:numId w:val="4"/>
        </w:numPr>
        <w:spacing w:after="0" w:line="360" w:lineRule="auto"/>
        <w:jc w:val="both"/>
        <w:rPr>
          <w:rFonts w:cstheme="minorHAnsi"/>
          <w:sz w:val="24"/>
          <w:szCs w:val="24"/>
        </w:rPr>
      </w:pPr>
      <w:r w:rsidRPr="00B21D26">
        <w:rPr>
          <w:rFonts w:eastAsia="Calibri" w:cstheme="minorHAnsi"/>
          <w:sz w:val="24"/>
          <w:szCs w:val="24"/>
        </w:rPr>
        <w:t>Τα μεγαλύτερα προβλήματα ρε</w:t>
      </w:r>
      <w:r w:rsidR="001D4F89" w:rsidRPr="00B21D26">
        <w:rPr>
          <w:rFonts w:eastAsia="Calibri" w:cstheme="minorHAnsi"/>
          <w:sz w:val="24"/>
          <w:szCs w:val="24"/>
        </w:rPr>
        <w:t>υστότητας αντιμετωπίζουν οι μικρότερες με βάση τον αριθμό εργαζομένων και τον κύκλο εργασιών επιχειρήσεις (49,6% και 46% αντίστοιχα που είτε δεν έχουν ταμειακά διαθέσιμα είτε αυτά επαρκούν για λιγότερο από μήνα), ενώ πολύ σοβαρό πρόβλημα αντιμετωπίζουν οι επιχειρήσεις εστίασης όπου το ποσοστό εκείνων που δεν έχουν ταμειακά διαθέσιμα ή τα ταμειακά διαθέσιμα επαρκούν για λιγότερο από μήνα ανέρχεται στο 58,9%.</w:t>
      </w:r>
    </w:p>
    <w:p w:rsidR="002A3C1F" w:rsidRPr="00B21D26" w:rsidRDefault="002A3C1F" w:rsidP="00700BFC">
      <w:pPr>
        <w:spacing w:after="0" w:line="360" w:lineRule="auto"/>
        <w:jc w:val="both"/>
        <w:rPr>
          <w:rFonts w:eastAsia="Times New Roman" w:cstheme="minorHAnsi"/>
          <w:b/>
          <w:sz w:val="24"/>
          <w:szCs w:val="24"/>
          <w:u w:val="single"/>
        </w:rPr>
      </w:pPr>
      <w:r w:rsidRPr="00B21D26">
        <w:rPr>
          <w:rFonts w:eastAsia="Times New Roman" w:cstheme="minorHAnsi"/>
          <w:b/>
          <w:sz w:val="24"/>
          <w:szCs w:val="24"/>
          <w:u w:val="single"/>
        </w:rPr>
        <w:t>Απασχόληση</w:t>
      </w:r>
    </w:p>
    <w:p w:rsidR="002A3C1F" w:rsidRPr="00B21D26" w:rsidRDefault="002A3C1F" w:rsidP="00700BFC">
      <w:pPr>
        <w:pStyle w:val="a3"/>
        <w:numPr>
          <w:ilvl w:val="0"/>
          <w:numId w:val="4"/>
        </w:numPr>
        <w:spacing w:after="0" w:line="360" w:lineRule="auto"/>
        <w:jc w:val="both"/>
        <w:rPr>
          <w:rFonts w:eastAsia="Calibri" w:cstheme="minorHAnsi"/>
          <w:sz w:val="24"/>
          <w:szCs w:val="24"/>
        </w:rPr>
      </w:pPr>
      <w:r w:rsidRPr="00B21D26">
        <w:rPr>
          <w:rFonts w:eastAsia="Calibri" w:cstheme="minorHAnsi"/>
          <w:sz w:val="24"/>
          <w:szCs w:val="24"/>
        </w:rPr>
        <w:t>Το ισοζύγιο προσλήψεων-απολύσεων είναι θετικό για όλους τους κλάδους με 9,4% των επιχειρήσεων να δηλώνουν αύξηση προσωπικού έναντι 8,5% που δήλωσαν μείωση.</w:t>
      </w:r>
    </w:p>
    <w:p w:rsidR="002A3C1F" w:rsidRPr="00B21D26" w:rsidRDefault="001D4F89" w:rsidP="00700BFC">
      <w:pPr>
        <w:pStyle w:val="a3"/>
        <w:numPr>
          <w:ilvl w:val="0"/>
          <w:numId w:val="4"/>
        </w:numPr>
        <w:spacing w:after="0" w:line="360" w:lineRule="auto"/>
        <w:jc w:val="both"/>
        <w:rPr>
          <w:rFonts w:eastAsia="Calibri" w:cstheme="minorHAnsi"/>
          <w:sz w:val="24"/>
          <w:szCs w:val="24"/>
        </w:rPr>
      </w:pPr>
      <w:r w:rsidRPr="00B21D26">
        <w:rPr>
          <w:rFonts w:eastAsia="Calibri" w:cstheme="minorHAnsi"/>
          <w:sz w:val="24"/>
          <w:szCs w:val="24"/>
        </w:rPr>
        <w:t xml:space="preserve">Το </w:t>
      </w:r>
      <w:r w:rsidR="002A3C1F" w:rsidRPr="00B21D26">
        <w:rPr>
          <w:rFonts w:eastAsia="Calibri" w:cstheme="minorHAnsi"/>
          <w:sz w:val="24"/>
          <w:szCs w:val="24"/>
        </w:rPr>
        <w:t>18,3% των επιχειρήσεων που είναι εγκατεστημένες στην Κρήτη και στα νησιά του Αιγαίου δήλωσαν αύξηση της απασχόλησης, ποσοστό υπερδιπλάσι</w:t>
      </w:r>
      <w:r w:rsidRPr="00B21D26">
        <w:rPr>
          <w:rFonts w:eastAsia="Calibri" w:cstheme="minorHAnsi"/>
          <w:sz w:val="24"/>
          <w:szCs w:val="24"/>
        </w:rPr>
        <w:t>ο</w:t>
      </w:r>
      <w:r w:rsidR="002A3C1F" w:rsidRPr="00B21D26">
        <w:rPr>
          <w:rFonts w:eastAsia="Calibri" w:cstheme="minorHAnsi"/>
          <w:sz w:val="24"/>
          <w:szCs w:val="24"/>
        </w:rPr>
        <w:t xml:space="preserve"> από τα αντίστοιχα των επιχειρήσεων στην Αττική (7,2%) στη Βόρεια Ελλάδα (8,8%) και στην Κεντρική Ελλάδα (8,5%). </w:t>
      </w:r>
    </w:p>
    <w:p w:rsidR="002A3C1F" w:rsidRPr="00B21D26" w:rsidRDefault="002A3C1F" w:rsidP="00700BFC">
      <w:pPr>
        <w:pStyle w:val="a3"/>
        <w:numPr>
          <w:ilvl w:val="0"/>
          <w:numId w:val="4"/>
        </w:numPr>
        <w:spacing w:after="0" w:line="360" w:lineRule="auto"/>
        <w:jc w:val="both"/>
        <w:rPr>
          <w:rFonts w:eastAsia="Times New Roman" w:cstheme="minorHAnsi"/>
          <w:bCs/>
          <w:sz w:val="24"/>
          <w:szCs w:val="24"/>
        </w:rPr>
      </w:pPr>
      <w:r w:rsidRPr="00B21D26">
        <w:rPr>
          <w:rFonts w:eastAsia="Calibri" w:cstheme="minorHAnsi"/>
          <w:sz w:val="24"/>
          <w:szCs w:val="24"/>
        </w:rPr>
        <w:t xml:space="preserve">Στις </w:t>
      </w:r>
      <w:r w:rsidR="00B36B25" w:rsidRPr="00B21D26">
        <w:rPr>
          <w:rFonts w:eastAsia="Calibri" w:cstheme="minorHAnsi"/>
          <w:sz w:val="24"/>
          <w:szCs w:val="24"/>
        </w:rPr>
        <w:t>πολύ μικρές</w:t>
      </w:r>
      <w:r w:rsidRPr="00B21D26">
        <w:rPr>
          <w:rFonts w:eastAsia="Calibri" w:cstheme="minorHAnsi"/>
          <w:sz w:val="24"/>
          <w:szCs w:val="24"/>
        </w:rPr>
        <w:t xml:space="preserve"> επιχειρήσεις με </w:t>
      </w:r>
      <w:r w:rsidR="0045324D">
        <w:rPr>
          <w:rFonts w:eastAsia="Times New Roman" w:cstheme="minorHAnsi"/>
          <w:bCs/>
          <w:sz w:val="24"/>
          <w:szCs w:val="24"/>
        </w:rPr>
        <w:t>κύκλο εργασιών</w:t>
      </w:r>
      <w:r w:rsidRPr="00B21D26">
        <w:rPr>
          <w:rFonts w:eastAsia="Times New Roman" w:cstheme="minorHAnsi"/>
          <w:bCs/>
          <w:sz w:val="24"/>
          <w:szCs w:val="24"/>
        </w:rPr>
        <w:t xml:space="preserve"> </w:t>
      </w:r>
      <w:r w:rsidR="00B36B25" w:rsidRPr="00B21D26">
        <w:rPr>
          <w:rFonts w:eastAsia="Times New Roman" w:cstheme="minorHAnsi"/>
          <w:bCs/>
          <w:sz w:val="24"/>
          <w:szCs w:val="24"/>
        </w:rPr>
        <w:t>έως</w:t>
      </w:r>
      <w:r w:rsidRPr="00B21D26">
        <w:rPr>
          <w:rFonts w:eastAsia="Times New Roman" w:cstheme="minorHAnsi"/>
          <w:bCs/>
          <w:sz w:val="24"/>
          <w:szCs w:val="24"/>
        </w:rPr>
        <w:t xml:space="preserve"> 50.000€ ή/και προσωπικό από 1 έως 4 άτομα περισσότερες επιχειρήσεις δήλωσαν ότι μείωσαν το προσωπικό τους σε σχέση με αυτές που το αύξησαν (</w:t>
      </w:r>
      <w:r w:rsidR="00B36B25" w:rsidRPr="00B21D26">
        <w:rPr>
          <w:rFonts w:eastAsia="Times New Roman" w:cstheme="minorHAnsi"/>
          <w:bCs/>
          <w:sz w:val="24"/>
          <w:szCs w:val="24"/>
        </w:rPr>
        <w:t>προσλήψεις</w:t>
      </w:r>
      <w:r w:rsidRPr="00B21D26">
        <w:rPr>
          <w:rFonts w:eastAsia="Times New Roman" w:cstheme="minorHAnsi"/>
          <w:bCs/>
          <w:sz w:val="24"/>
          <w:szCs w:val="24"/>
        </w:rPr>
        <w:t xml:space="preserve"> 2,5% και 7,7% αντίστοιχα έναντι </w:t>
      </w:r>
      <w:r w:rsidR="00B36B25" w:rsidRPr="00B21D26">
        <w:rPr>
          <w:rFonts w:eastAsia="Times New Roman" w:cstheme="minorHAnsi"/>
          <w:bCs/>
          <w:sz w:val="24"/>
          <w:szCs w:val="24"/>
        </w:rPr>
        <w:t xml:space="preserve">αποχωρήσεων </w:t>
      </w:r>
      <w:r w:rsidRPr="00B21D26">
        <w:rPr>
          <w:rFonts w:eastAsia="Times New Roman" w:cstheme="minorHAnsi"/>
          <w:bCs/>
          <w:sz w:val="24"/>
          <w:szCs w:val="24"/>
        </w:rPr>
        <w:t xml:space="preserve">6,2% και 10,5% αντίστοιχα). </w:t>
      </w:r>
    </w:p>
    <w:p w:rsidR="002A3C1F" w:rsidRPr="00B21D26" w:rsidRDefault="002A3C1F" w:rsidP="00700BFC">
      <w:pPr>
        <w:pStyle w:val="a3"/>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 xml:space="preserve">Στον αντίποδα βρίσκονται οι </w:t>
      </w:r>
      <w:r w:rsidR="00B36B25" w:rsidRPr="00B21D26">
        <w:rPr>
          <w:rFonts w:eastAsia="Times New Roman" w:cstheme="minorHAnsi"/>
          <w:bCs/>
          <w:sz w:val="24"/>
          <w:szCs w:val="24"/>
        </w:rPr>
        <w:t>μικρές</w:t>
      </w:r>
      <w:r w:rsidRPr="00B21D26">
        <w:rPr>
          <w:rFonts w:eastAsia="Times New Roman" w:cstheme="minorHAnsi"/>
          <w:bCs/>
          <w:sz w:val="24"/>
          <w:szCs w:val="24"/>
        </w:rPr>
        <w:t xml:space="preserve"> ε</w:t>
      </w:r>
      <w:r w:rsidR="0045324D">
        <w:rPr>
          <w:rFonts w:eastAsia="Times New Roman" w:cstheme="minorHAnsi"/>
          <w:bCs/>
          <w:sz w:val="24"/>
          <w:szCs w:val="24"/>
        </w:rPr>
        <w:t xml:space="preserve">πιχειρήσεις με πάνω από 500.000 </w:t>
      </w:r>
      <w:r w:rsidR="00B36B25" w:rsidRPr="00B21D26">
        <w:rPr>
          <w:rFonts w:eastAsia="Times New Roman" w:cstheme="minorHAnsi"/>
          <w:bCs/>
          <w:sz w:val="24"/>
          <w:szCs w:val="24"/>
        </w:rPr>
        <w:t xml:space="preserve">€ </w:t>
      </w:r>
      <w:r w:rsidR="0045324D">
        <w:rPr>
          <w:rFonts w:eastAsia="Times New Roman" w:cstheme="minorHAnsi"/>
          <w:bCs/>
          <w:sz w:val="24"/>
          <w:szCs w:val="24"/>
        </w:rPr>
        <w:t>κύκλο εργασιών</w:t>
      </w:r>
      <w:r w:rsidRPr="00B21D26">
        <w:rPr>
          <w:rFonts w:eastAsia="Times New Roman" w:cstheme="minorHAnsi"/>
          <w:bCs/>
          <w:sz w:val="24"/>
          <w:szCs w:val="24"/>
        </w:rPr>
        <w:t xml:space="preserve"> ή με προσωπικό πάνω από 10 </w:t>
      </w:r>
      <w:r w:rsidR="00B36B25" w:rsidRPr="00B21D26">
        <w:rPr>
          <w:rFonts w:eastAsia="Times New Roman" w:cstheme="minorHAnsi"/>
          <w:bCs/>
          <w:sz w:val="24"/>
          <w:szCs w:val="24"/>
        </w:rPr>
        <w:t xml:space="preserve">έως 49 </w:t>
      </w:r>
      <w:r w:rsidRPr="00B21D26">
        <w:rPr>
          <w:rFonts w:eastAsia="Times New Roman" w:cstheme="minorHAnsi"/>
          <w:bCs/>
          <w:sz w:val="24"/>
          <w:szCs w:val="24"/>
        </w:rPr>
        <w:t xml:space="preserve">εργαζόμενους οι οποίες δήλωσαν αύξηση της απασχόλησης σε ποσοστά άνω του 25% και άνω του 42% </w:t>
      </w:r>
      <w:r w:rsidR="00B36B25" w:rsidRPr="00B21D26">
        <w:rPr>
          <w:rFonts w:eastAsia="Times New Roman" w:cstheme="minorHAnsi"/>
          <w:bCs/>
          <w:sz w:val="24"/>
          <w:szCs w:val="24"/>
        </w:rPr>
        <w:t xml:space="preserve">αυτών </w:t>
      </w:r>
      <w:r w:rsidRPr="00B21D26">
        <w:rPr>
          <w:rFonts w:eastAsia="Times New Roman" w:cstheme="minorHAnsi"/>
          <w:bCs/>
          <w:sz w:val="24"/>
          <w:szCs w:val="24"/>
        </w:rPr>
        <w:t xml:space="preserve">αντίστοιχα. </w:t>
      </w:r>
    </w:p>
    <w:p w:rsidR="002A3C1F" w:rsidRPr="00B21D26" w:rsidRDefault="002A3C1F" w:rsidP="00700BFC">
      <w:pPr>
        <w:spacing w:after="0" w:line="360" w:lineRule="auto"/>
        <w:contextualSpacing/>
        <w:rPr>
          <w:rFonts w:cstheme="minorHAnsi"/>
          <w:b/>
          <w:sz w:val="24"/>
          <w:szCs w:val="24"/>
          <w:u w:val="single"/>
        </w:rPr>
      </w:pPr>
      <w:r w:rsidRPr="00B21D26">
        <w:rPr>
          <w:rFonts w:cstheme="minorHAnsi"/>
          <w:b/>
          <w:sz w:val="24"/>
          <w:szCs w:val="24"/>
          <w:u w:val="single"/>
        </w:rPr>
        <w:t>Επενδύσεις</w:t>
      </w:r>
    </w:p>
    <w:p w:rsidR="002A3C1F" w:rsidRPr="00B21D26" w:rsidRDefault="004572FD" w:rsidP="00700BFC">
      <w:pPr>
        <w:pStyle w:val="a3"/>
        <w:numPr>
          <w:ilvl w:val="0"/>
          <w:numId w:val="4"/>
        </w:numPr>
        <w:spacing w:after="0" w:line="360" w:lineRule="auto"/>
        <w:ind w:left="357" w:hanging="357"/>
        <w:jc w:val="both"/>
        <w:rPr>
          <w:rFonts w:eastAsia="Times New Roman" w:cstheme="minorHAnsi"/>
          <w:bCs/>
          <w:sz w:val="24"/>
          <w:szCs w:val="24"/>
        </w:rPr>
      </w:pPr>
      <w:r w:rsidRPr="00B21D26">
        <w:rPr>
          <w:rFonts w:eastAsia="Times New Roman" w:cstheme="minorHAnsi"/>
          <w:bCs/>
          <w:sz w:val="24"/>
          <w:szCs w:val="24"/>
        </w:rPr>
        <w:t xml:space="preserve">Σχεδόν 1 στις 3 μικρές και πολύ μικρές επιχειρήσεις (29,8%) </w:t>
      </w:r>
      <w:r w:rsidR="002A3C1F" w:rsidRPr="00B21D26">
        <w:rPr>
          <w:rFonts w:eastAsia="Times New Roman" w:cstheme="minorHAnsi"/>
          <w:bCs/>
          <w:sz w:val="24"/>
          <w:szCs w:val="24"/>
        </w:rPr>
        <w:t>πραγματοποίησ</w:t>
      </w:r>
      <w:r w:rsidRPr="00B21D26">
        <w:rPr>
          <w:rFonts w:eastAsia="Times New Roman" w:cstheme="minorHAnsi"/>
          <w:bCs/>
          <w:sz w:val="24"/>
          <w:szCs w:val="24"/>
        </w:rPr>
        <w:t>αν</w:t>
      </w:r>
      <w:r w:rsidR="002A3C1F" w:rsidRPr="00B21D26">
        <w:rPr>
          <w:rFonts w:eastAsia="Times New Roman" w:cstheme="minorHAnsi"/>
          <w:bCs/>
          <w:sz w:val="24"/>
          <w:szCs w:val="24"/>
        </w:rPr>
        <w:t xml:space="preserve"> κάποια μορφής επένδυση κατά το πρώτο εξάμηνο του 2022. </w:t>
      </w:r>
    </w:p>
    <w:p w:rsidR="002A3C1F" w:rsidRPr="00B21D26" w:rsidRDefault="002D492B" w:rsidP="00700BFC">
      <w:pPr>
        <w:pStyle w:val="a3"/>
        <w:numPr>
          <w:ilvl w:val="0"/>
          <w:numId w:val="4"/>
        </w:numPr>
        <w:spacing w:after="0" w:line="360" w:lineRule="auto"/>
        <w:ind w:left="357" w:hanging="357"/>
        <w:rPr>
          <w:rFonts w:eastAsia="Times New Roman" w:cstheme="minorHAnsi"/>
          <w:bCs/>
          <w:sz w:val="24"/>
          <w:szCs w:val="24"/>
        </w:rPr>
      </w:pPr>
      <w:r w:rsidRPr="00B21D26">
        <w:rPr>
          <w:rFonts w:eastAsia="Times New Roman" w:cstheme="minorHAnsi"/>
          <w:bCs/>
          <w:sz w:val="24"/>
          <w:szCs w:val="24"/>
        </w:rPr>
        <w:t>Το 17,9%</w:t>
      </w:r>
      <w:r w:rsidR="0045324D">
        <w:rPr>
          <w:rFonts w:eastAsia="Times New Roman" w:cstheme="minorHAnsi"/>
          <w:bCs/>
          <w:sz w:val="24"/>
          <w:szCs w:val="24"/>
        </w:rPr>
        <w:t xml:space="preserve">  πραγματοποίησε επενδύσεις σε τ</w:t>
      </w:r>
      <w:r w:rsidRPr="00B21D26">
        <w:rPr>
          <w:rFonts w:eastAsia="Times New Roman" w:cstheme="minorHAnsi"/>
          <w:bCs/>
          <w:sz w:val="24"/>
          <w:szCs w:val="24"/>
        </w:rPr>
        <w:t>εχνολογικό εξοπλισμό και ψηφιακές τεχνολ</w:t>
      </w:r>
      <w:r w:rsidR="0045324D">
        <w:rPr>
          <w:rFonts w:eastAsia="Times New Roman" w:cstheme="minorHAnsi"/>
          <w:bCs/>
          <w:sz w:val="24"/>
          <w:szCs w:val="24"/>
        </w:rPr>
        <w:t>ογίες, το 13,7% επενδύσεις σε μ</w:t>
      </w:r>
      <w:r w:rsidRPr="00B21D26">
        <w:rPr>
          <w:rFonts w:eastAsia="Times New Roman" w:cstheme="minorHAnsi"/>
          <w:bCs/>
          <w:sz w:val="24"/>
          <w:szCs w:val="24"/>
        </w:rPr>
        <w:t>ηχανολογικό εξοπλισμό και λοιπά μηχανήματα, το 8,1% σε</w:t>
      </w:r>
      <w:r w:rsidR="002A3C1F" w:rsidRPr="00B21D26">
        <w:rPr>
          <w:rFonts w:eastAsia="Times New Roman" w:cstheme="minorHAnsi"/>
          <w:bCs/>
          <w:sz w:val="24"/>
          <w:szCs w:val="24"/>
        </w:rPr>
        <w:t xml:space="preserve"> </w:t>
      </w:r>
      <w:r w:rsidR="0045324D">
        <w:rPr>
          <w:rFonts w:eastAsia="Times New Roman" w:cstheme="minorHAnsi"/>
          <w:bCs/>
          <w:sz w:val="24"/>
          <w:szCs w:val="24"/>
        </w:rPr>
        <w:t>κ</w:t>
      </w:r>
      <w:r w:rsidR="002A3C1F" w:rsidRPr="00B21D26">
        <w:rPr>
          <w:rFonts w:eastAsia="Times New Roman" w:cstheme="minorHAnsi"/>
          <w:bCs/>
          <w:sz w:val="24"/>
          <w:szCs w:val="24"/>
        </w:rPr>
        <w:t>τιριακές εγκαταστάσεις και λοιπό εξοπλισμό</w:t>
      </w:r>
      <w:r w:rsidRPr="00B21D26">
        <w:rPr>
          <w:rFonts w:eastAsia="Times New Roman" w:cstheme="minorHAnsi"/>
          <w:bCs/>
          <w:sz w:val="24"/>
          <w:szCs w:val="24"/>
        </w:rPr>
        <w:t xml:space="preserve"> </w:t>
      </w:r>
      <w:r w:rsidR="002A3C1F" w:rsidRPr="00B21D26">
        <w:rPr>
          <w:rFonts w:eastAsia="Times New Roman" w:cstheme="minorHAnsi"/>
          <w:bCs/>
          <w:sz w:val="24"/>
          <w:szCs w:val="24"/>
        </w:rPr>
        <w:t xml:space="preserve">και  </w:t>
      </w:r>
      <w:r w:rsidRPr="00B21D26">
        <w:rPr>
          <w:rFonts w:eastAsia="Times New Roman" w:cstheme="minorHAnsi"/>
          <w:bCs/>
          <w:sz w:val="24"/>
          <w:szCs w:val="24"/>
        </w:rPr>
        <w:t xml:space="preserve">το 5,6% για </w:t>
      </w:r>
      <w:r w:rsidR="0045324D">
        <w:rPr>
          <w:rFonts w:eastAsia="Times New Roman" w:cstheme="minorHAnsi"/>
          <w:bCs/>
          <w:sz w:val="24"/>
          <w:szCs w:val="24"/>
        </w:rPr>
        <w:t>κ</w:t>
      </w:r>
      <w:r w:rsidR="002A3C1F" w:rsidRPr="00B21D26">
        <w:rPr>
          <w:rFonts w:eastAsia="Times New Roman" w:cstheme="minorHAnsi"/>
          <w:bCs/>
          <w:sz w:val="24"/>
          <w:szCs w:val="24"/>
        </w:rPr>
        <w:t xml:space="preserve">ατάρτιση και εκπαίδευση προσωπικού.   </w:t>
      </w:r>
    </w:p>
    <w:p w:rsidR="002A3C1F" w:rsidRPr="00B21D26" w:rsidRDefault="002A3C1F" w:rsidP="00700BFC">
      <w:pPr>
        <w:pStyle w:val="a3"/>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Υπάρχει μία σαφής θετική σχέση μεταξύ των επιχειρήσεων που δήλωσαν ότι έχουν πραγματοποιήσει επενδύσεις και του μεγέθους τους σε όρους αριθμού εργαζομένων και κύκλου εργασιών.</w:t>
      </w:r>
    </w:p>
    <w:p w:rsidR="002A3C1F" w:rsidRPr="00B21D26" w:rsidRDefault="002A3C1F" w:rsidP="00700BFC">
      <w:pPr>
        <w:pStyle w:val="a3"/>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lastRenderedPageBreak/>
        <w:t xml:space="preserve">Παρά τα αυξημένα ποσοστά επιχειρήσεων που δήλωσαν ότι έχουν κάνει επενδύσεις οι επενδύσεις αυτές είναι </w:t>
      </w:r>
      <w:r w:rsidR="002D492B" w:rsidRPr="00B21D26">
        <w:rPr>
          <w:rFonts w:eastAsia="Times New Roman" w:cstheme="minorHAnsi"/>
          <w:bCs/>
          <w:sz w:val="24"/>
          <w:szCs w:val="24"/>
        </w:rPr>
        <w:t>μικρής κλίμακας. Για 1 στις 2 επιχειρήσεις</w:t>
      </w:r>
      <w:r w:rsidR="004572FD" w:rsidRPr="00B21D26">
        <w:rPr>
          <w:rFonts w:eastAsia="Times New Roman" w:cstheme="minorHAnsi"/>
          <w:bCs/>
          <w:sz w:val="24"/>
          <w:szCs w:val="24"/>
        </w:rPr>
        <w:t xml:space="preserve"> (51%)</w:t>
      </w:r>
      <w:r w:rsidR="002D492B" w:rsidRPr="00B21D26">
        <w:rPr>
          <w:rFonts w:eastAsia="Times New Roman" w:cstheme="minorHAnsi"/>
          <w:bCs/>
          <w:sz w:val="24"/>
          <w:szCs w:val="24"/>
        </w:rPr>
        <w:t xml:space="preserve"> που πραγματοποίησαν επενδύσεις το ύψος της επένδυσης ήταν έως 5.000 €</w:t>
      </w:r>
      <w:r w:rsidRPr="00B21D26">
        <w:rPr>
          <w:rFonts w:eastAsia="Times New Roman" w:cstheme="minorHAnsi"/>
          <w:bCs/>
          <w:sz w:val="24"/>
          <w:szCs w:val="24"/>
        </w:rPr>
        <w:t xml:space="preserve">. </w:t>
      </w:r>
    </w:p>
    <w:p w:rsidR="00B0306B" w:rsidRPr="00B21D26" w:rsidRDefault="002A3C1F" w:rsidP="00700BFC">
      <w:pPr>
        <w:pStyle w:val="a3"/>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 xml:space="preserve">Το πρόβλημα της πρόσβασης σε χρηματοδότηση </w:t>
      </w:r>
      <w:r w:rsidR="00B0306B" w:rsidRPr="00B21D26">
        <w:rPr>
          <w:rFonts w:eastAsia="Times New Roman" w:cstheme="minorHAnsi"/>
          <w:bCs/>
          <w:sz w:val="24"/>
          <w:szCs w:val="24"/>
        </w:rPr>
        <w:t xml:space="preserve">για επενδύσεις </w:t>
      </w:r>
      <w:r w:rsidRPr="00B21D26">
        <w:rPr>
          <w:rFonts w:eastAsia="Times New Roman" w:cstheme="minorHAnsi"/>
          <w:bCs/>
          <w:sz w:val="24"/>
          <w:szCs w:val="24"/>
        </w:rPr>
        <w:t xml:space="preserve">παραμένει έντονο. </w:t>
      </w:r>
    </w:p>
    <w:p w:rsidR="002D492B" w:rsidRPr="00B21D26" w:rsidRDefault="00B0306B" w:rsidP="00700BFC">
      <w:pPr>
        <w:pStyle w:val="a3"/>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8 στις 10 επιχειρήσεις (</w:t>
      </w:r>
      <w:r w:rsidR="002A3C1F" w:rsidRPr="00B21D26">
        <w:rPr>
          <w:rFonts w:eastAsia="Times New Roman" w:cstheme="minorHAnsi"/>
          <w:bCs/>
          <w:sz w:val="24"/>
          <w:szCs w:val="24"/>
        </w:rPr>
        <w:t>81,3%</w:t>
      </w:r>
      <w:r w:rsidRPr="00B21D26">
        <w:rPr>
          <w:rFonts w:eastAsia="Times New Roman" w:cstheme="minorHAnsi"/>
          <w:bCs/>
          <w:sz w:val="24"/>
          <w:szCs w:val="24"/>
        </w:rPr>
        <w:t>)</w:t>
      </w:r>
      <w:r w:rsidR="002A3C1F" w:rsidRPr="00B21D26">
        <w:rPr>
          <w:rFonts w:eastAsia="Times New Roman" w:cstheme="minorHAnsi"/>
          <w:bCs/>
          <w:sz w:val="24"/>
          <w:szCs w:val="24"/>
        </w:rPr>
        <w:t xml:space="preserve"> π</w:t>
      </w:r>
      <w:r w:rsidR="00C721D3">
        <w:rPr>
          <w:rFonts w:eastAsia="Times New Roman" w:cstheme="minorHAnsi"/>
          <w:bCs/>
          <w:sz w:val="24"/>
          <w:szCs w:val="24"/>
        </w:rPr>
        <w:t>ου πραγματοποίησαν επενδύσεις τι</w:t>
      </w:r>
      <w:r w:rsidR="002A3C1F" w:rsidRPr="00B21D26">
        <w:rPr>
          <w:rFonts w:eastAsia="Times New Roman" w:cstheme="minorHAnsi"/>
          <w:bCs/>
          <w:sz w:val="24"/>
          <w:szCs w:val="24"/>
        </w:rPr>
        <w:t>ς χρηματοδότησαν με ιδίους πόρους</w:t>
      </w:r>
      <w:r w:rsidRPr="00B21D26">
        <w:rPr>
          <w:rFonts w:eastAsia="Times New Roman" w:cstheme="minorHAnsi"/>
          <w:bCs/>
          <w:sz w:val="24"/>
          <w:szCs w:val="24"/>
        </w:rPr>
        <w:t>.</w:t>
      </w:r>
      <w:r w:rsidR="0045324D">
        <w:rPr>
          <w:rFonts w:eastAsia="Times New Roman" w:cstheme="minorHAnsi"/>
          <w:bCs/>
          <w:sz w:val="24"/>
          <w:szCs w:val="24"/>
        </w:rPr>
        <w:t xml:space="preserve"> Το 9,6% τις χρηματοδότησε μέσω</w:t>
      </w:r>
      <w:r w:rsidRPr="00B21D26">
        <w:rPr>
          <w:rFonts w:eastAsia="Times New Roman" w:cstheme="minorHAnsi"/>
          <w:bCs/>
          <w:sz w:val="24"/>
          <w:szCs w:val="24"/>
        </w:rPr>
        <w:t xml:space="preserve"> προγραμμάτων</w:t>
      </w:r>
      <w:r w:rsidR="0045324D">
        <w:rPr>
          <w:rFonts w:eastAsia="Times New Roman" w:cstheme="minorHAnsi"/>
          <w:bCs/>
          <w:sz w:val="24"/>
          <w:szCs w:val="24"/>
        </w:rPr>
        <w:t xml:space="preserve"> χρηματοδότησης</w:t>
      </w:r>
      <w:r w:rsidRPr="00B21D26">
        <w:rPr>
          <w:rFonts w:eastAsia="Times New Roman" w:cstheme="minorHAnsi"/>
          <w:bCs/>
          <w:sz w:val="24"/>
          <w:szCs w:val="24"/>
        </w:rPr>
        <w:t xml:space="preserve"> και μόλις το 3,8% </w:t>
      </w:r>
      <w:r w:rsidR="002A3C1F" w:rsidRPr="00B21D26">
        <w:rPr>
          <w:rFonts w:eastAsia="Times New Roman" w:cstheme="minorHAnsi"/>
          <w:bCs/>
          <w:sz w:val="24"/>
          <w:szCs w:val="24"/>
        </w:rPr>
        <w:t xml:space="preserve"> </w:t>
      </w:r>
      <w:r w:rsidRPr="00B21D26">
        <w:rPr>
          <w:rFonts w:eastAsia="Times New Roman" w:cstheme="minorHAnsi"/>
          <w:bCs/>
          <w:sz w:val="24"/>
          <w:szCs w:val="24"/>
        </w:rPr>
        <w:t>μέσω</w:t>
      </w:r>
      <w:r w:rsidR="002A3C1F" w:rsidRPr="00B21D26">
        <w:rPr>
          <w:rFonts w:eastAsia="Times New Roman" w:cstheme="minorHAnsi"/>
          <w:bCs/>
          <w:sz w:val="24"/>
          <w:szCs w:val="24"/>
        </w:rPr>
        <w:t xml:space="preserve"> τραπεζικού δανεισμού.</w:t>
      </w:r>
    </w:p>
    <w:p w:rsidR="002A3C1F" w:rsidRPr="00B21D26" w:rsidRDefault="002A3C1F" w:rsidP="00700BFC">
      <w:pPr>
        <w:spacing w:after="0" w:line="360" w:lineRule="auto"/>
        <w:jc w:val="both"/>
        <w:rPr>
          <w:rFonts w:cstheme="minorHAnsi"/>
          <w:b/>
          <w:sz w:val="24"/>
          <w:szCs w:val="24"/>
          <w:u w:val="single"/>
        </w:rPr>
      </w:pPr>
      <w:r w:rsidRPr="00B21D26">
        <w:rPr>
          <w:rFonts w:cstheme="minorHAnsi"/>
          <w:b/>
          <w:sz w:val="24"/>
          <w:szCs w:val="24"/>
          <w:u w:val="single"/>
        </w:rPr>
        <w:t xml:space="preserve">Τιμές </w:t>
      </w:r>
    </w:p>
    <w:p w:rsidR="002A3C1F" w:rsidRPr="00B21D26" w:rsidRDefault="002A3C1F" w:rsidP="00700BFC">
      <w:pPr>
        <w:pStyle w:val="a3"/>
        <w:numPr>
          <w:ilvl w:val="0"/>
          <w:numId w:val="4"/>
        </w:numPr>
        <w:spacing w:after="0" w:line="360" w:lineRule="auto"/>
        <w:jc w:val="both"/>
        <w:rPr>
          <w:rFonts w:eastAsia="Times New Roman" w:cstheme="minorHAnsi"/>
          <w:bCs/>
          <w:sz w:val="24"/>
          <w:szCs w:val="24"/>
        </w:rPr>
      </w:pPr>
      <w:r w:rsidRPr="00B21D26">
        <w:rPr>
          <w:rFonts w:eastAsia="Times New Roman" w:cstheme="minorHAnsi"/>
          <w:bCs/>
          <w:sz w:val="24"/>
          <w:szCs w:val="24"/>
        </w:rPr>
        <w:t xml:space="preserve">Οι επιχειρήσεις που δήλωσαν ότι αύξησαν τις τιμές </w:t>
      </w:r>
      <w:r w:rsidR="005A25E4">
        <w:rPr>
          <w:rFonts w:eastAsia="Times New Roman" w:cstheme="minorHAnsi"/>
          <w:bCs/>
          <w:sz w:val="24"/>
          <w:szCs w:val="24"/>
        </w:rPr>
        <w:t xml:space="preserve">αυξάνονται περαιτέρω </w:t>
      </w:r>
      <w:r w:rsidRPr="00B21D26">
        <w:rPr>
          <w:rFonts w:eastAsia="Times New Roman" w:cstheme="minorHAnsi"/>
          <w:bCs/>
          <w:sz w:val="24"/>
          <w:szCs w:val="24"/>
        </w:rPr>
        <w:t>φτάνοντας στο 59,2%</w:t>
      </w:r>
      <w:r w:rsidR="00B36B25" w:rsidRPr="00B21D26">
        <w:rPr>
          <w:rFonts w:eastAsia="Times New Roman" w:cstheme="minorHAnsi"/>
          <w:bCs/>
          <w:sz w:val="24"/>
          <w:szCs w:val="24"/>
        </w:rPr>
        <w:t xml:space="preserve"> του συνόλου των μικρών και πολύ μικρών επιχειρήσεων</w:t>
      </w:r>
      <w:r w:rsidRPr="00B21D26">
        <w:rPr>
          <w:rFonts w:eastAsia="Times New Roman" w:cstheme="minorHAnsi"/>
          <w:bCs/>
          <w:sz w:val="24"/>
          <w:szCs w:val="24"/>
        </w:rPr>
        <w:t xml:space="preserve"> το 1ο εξάμηνο του 2022</w:t>
      </w:r>
      <w:r w:rsidR="00B36B25" w:rsidRPr="00B21D26">
        <w:rPr>
          <w:rFonts w:eastAsia="Times New Roman" w:cstheme="minorHAnsi"/>
          <w:bCs/>
          <w:sz w:val="24"/>
          <w:szCs w:val="24"/>
        </w:rPr>
        <w:t>,</w:t>
      </w:r>
      <w:r w:rsidRPr="00B21D26">
        <w:rPr>
          <w:rFonts w:eastAsia="Times New Roman" w:cstheme="minorHAnsi"/>
          <w:bCs/>
          <w:sz w:val="24"/>
          <w:szCs w:val="24"/>
        </w:rPr>
        <w:t xml:space="preserve"> ενώ μειώνονται σημαντικά οι επιχειρήσεις που δήλωσαν ότι μείωσαν τις τιμές </w:t>
      </w:r>
      <w:r w:rsidR="00B36B25" w:rsidRPr="00B21D26">
        <w:rPr>
          <w:rFonts w:eastAsia="Times New Roman" w:cstheme="minorHAnsi"/>
          <w:bCs/>
          <w:sz w:val="24"/>
          <w:szCs w:val="24"/>
        </w:rPr>
        <w:t>τους,</w:t>
      </w:r>
      <w:r w:rsidRPr="00B21D26">
        <w:rPr>
          <w:rFonts w:eastAsia="Times New Roman" w:cstheme="minorHAnsi"/>
          <w:bCs/>
          <w:sz w:val="24"/>
          <w:szCs w:val="24"/>
        </w:rPr>
        <w:t xml:space="preserve"> καθώς και αυτές που τις διατήρησαν σταθερές. </w:t>
      </w:r>
    </w:p>
    <w:p w:rsidR="002A3C1F" w:rsidRPr="00B21D26" w:rsidRDefault="002A3C1F" w:rsidP="00700BFC">
      <w:pPr>
        <w:pStyle w:val="a3"/>
        <w:numPr>
          <w:ilvl w:val="0"/>
          <w:numId w:val="4"/>
        </w:numPr>
        <w:spacing w:after="0" w:line="360" w:lineRule="auto"/>
        <w:jc w:val="both"/>
        <w:rPr>
          <w:rFonts w:cstheme="minorHAnsi"/>
          <w:b/>
          <w:sz w:val="24"/>
          <w:szCs w:val="24"/>
          <w:u w:val="single"/>
        </w:rPr>
      </w:pPr>
      <w:r w:rsidRPr="00B21D26">
        <w:rPr>
          <w:rFonts w:eastAsia="Times New Roman" w:cstheme="minorHAnsi"/>
          <w:bCs/>
          <w:sz w:val="24"/>
          <w:szCs w:val="24"/>
        </w:rPr>
        <w:t>Μεγαλύτερ</w:t>
      </w:r>
      <w:r w:rsidR="00906086" w:rsidRPr="00B21D26">
        <w:rPr>
          <w:rFonts w:eastAsia="Times New Roman" w:cstheme="minorHAnsi"/>
          <w:bCs/>
          <w:sz w:val="24"/>
          <w:szCs w:val="24"/>
        </w:rPr>
        <w:t>α</w:t>
      </w:r>
      <w:r w:rsidRPr="00B21D26">
        <w:rPr>
          <w:rFonts w:eastAsia="Times New Roman" w:cstheme="minorHAnsi"/>
          <w:bCs/>
          <w:sz w:val="24"/>
          <w:szCs w:val="24"/>
        </w:rPr>
        <w:t xml:space="preserve"> </w:t>
      </w:r>
      <w:r w:rsidR="00906086" w:rsidRPr="00B21D26">
        <w:rPr>
          <w:rFonts w:eastAsia="Times New Roman" w:cstheme="minorHAnsi"/>
          <w:bCs/>
          <w:sz w:val="24"/>
          <w:szCs w:val="24"/>
        </w:rPr>
        <w:t>ποσοστά</w:t>
      </w:r>
      <w:r w:rsidRPr="00B21D26">
        <w:rPr>
          <w:rFonts w:eastAsia="Times New Roman" w:cstheme="minorHAnsi"/>
          <w:bCs/>
          <w:sz w:val="24"/>
          <w:szCs w:val="24"/>
        </w:rPr>
        <w:t xml:space="preserve"> επιχειρήσεων</w:t>
      </w:r>
      <w:r w:rsidRPr="00B21D26">
        <w:rPr>
          <w:rFonts w:cstheme="minorHAnsi"/>
          <w:sz w:val="24"/>
          <w:szCs w:val="24"/>
        </w:rPr>
        <w:t xml:space="preserve"> </w:t>
      </w:r>
      <w:r w:rsidR="00906086" w:rsidRPr="00B21D26">
        <w:rPr>
          <w:rFonts w:cstheme="minorHAnsi"/>
          <w:sz w:val="24"/>
          <w:szCs w:val="24"/>
        </w:rPr>
        <w:t xml:space="preserve">που </w:t>
      </w:r>
      <w:r w:rsidR="005A25E4" w:rsidRPr="00B21D26">
        <w:rPr>
          <w:rFonts w:cstheme="minorHAnsi"/>
          <w:sz w:val="24"/>
          <w:szCs w:val="24"/>
        </w:rPr>
        <w:t>αύξησαν</w:t>
      </w:r>
      <w:r w:rsidR="00C721D3">
        <w:rPr>
          <w:rFonts w:cstheme="minorHAnsi"/>
          <w:sz w:val="24"/>
          <w:szCs w:val="24"/>
        </w:rPr>
        <w:t xml:space="preserve"> τις τιμές τους καταγράφον</w:t>
      </w:r>
      <w:r w:rsidR="00906086" w:rsidRPr="00B21D26">
        <w:rPr>
          <w:rFonts w:cstheme="minorHAnsi"/>
          <w:sz w:val="24"/>
          <w:szCs w:val="24"/>
        </w:rPr>
        <w:t xml:space="preserve">ται </w:t>
      </w:r>
      <w:r w:rsidRPr="00B21D26">
        <w:rPr>
          <w:rFonts w:cstheme="minorHAnsi"/>
          <w:sz w:val="24"/>
          <w:szCs w:val="24"/>
        </w:rPr>
        <w:t xml:space="preserve">στο εμπόριο και στη μεταποίηση (66,2% και 66,3% αντίστοιχα) </w:t>
      </w:r>
      <w:r w:rsidR="00906086" w:rsidRPr="00B21D26">
        <w:rPr>
          <w:rFonts w:cstheme="minorHAnsi"/>
          <w:sz w:val="24"/>
          <w:szCs w:val="24"/>
        </w:rPr>
        <w:t>έναντι των επιχειρήσεων</w:t>
      </w:r>
      <w:r w:rsidRPr="00B21D26">
        <w:rPr>
          <w:rFonts w:cstheme="minorHAnsi"/>
          <w:sz w:val="24"/>
          <w:szCs w:val="24"/>
        </w:rPr>
        <w:t xml:space="preserve"> στον ευρύτερο τομέα των υπηρεσιών (47,9%). Εξαίρεση του ευρύτερου τομέα των υπηρεσιών αποτελεί ο κλάδος της εστίασης </w:t>
      </w:r>
      <w:r w:rsidR="00906086" w:rsidRPr="00B21D26">
        <w:rPr>
          <w:rFonts w:cstheme="minorHAnsi"/>
          <w:sz w:val="24"/>
          <w:szCs w:val="24"/>
        </w:rPr>
        <w:t>όπου</w:t>
      </w:r>
      <w:r w:rsidRPr="00B21D26">
        <w:rPr>
          <w:rFonts w:cstheme="minorHAnsi"/>
          <w:sz w:val="24"/>
          <w:szCs w:val="24"/>
        </w:rPr>
        <w:t xml:space="preserve"> η συντριπτική πλειονότητα </w:t>
      </w:r>
      <w:r w:rsidR="00C721D3">
        <w:rPr>
          <w:rFonts w:cstheme="minorHAnsi"/>
          <w:sz w:val="24"/>
          <w:szCs w:val="24"/>
        </w:rPr>
        <w:t>των επιχειρήσεων (61,6%) δήλωσε ότι αύξησε</w:t>
      </w:r>
      <w:r w:rsidRPr="00B21D26">
        <w:rPr>
          <w:rFonts w:cstheme="minorHAnsi"/>
          <w:sz w:val="24"/>
          <w:szCs w:val="24"/>
        </w:rPr>
        <w:t xml:space="preserve"> τις τιμές </w:t>
      </w:r>
      <w:r w:rsidR="00906086" w:rsidRPr="00B21D26">
        <w:rPr>
          <w:rFonts w:cstheme="minorHAnsi"/>
          <w:sz w:val="24"/>
          <w:szCs w:val="24"/>
        </w:rPr>
        <w:t>τους.</w:t>
      </w:r>
      <w:r w:rsidRPr="00B21D26">
        <w:rPr>
          <w:rFonts w:cstheme="minorHAnsi"/>
          <w:sz w:val="24"/>
          <w:szCs w:val="24"/>
        </w:rPr>
        <w:t xml:space="preserve"> </w:t>
      </w:r>
    </w:p>
    <w:p w:rsidR="002A3C1F" w:rsidRPr="00B21D26" w:rsidRDefault="00906086" w:rsidP="00700BFC">
      <w:pPr>
        <w:pStyle w:val="a3"/>
        <w:numPr>
          <w:ilvl w:val="0"/>
          <w:numId w:val="4"/>
        </w:numPr>
        <w:spacing w:after="0" w:line="360" w:lineRule="auto"/>
        <w:jc w:val="both"/>
        <w:rPr>
          <w:rFonts w:cstheme="minorHAnsi"/>
          <w:b/>
          <w:sz w:val="24"/>
          <w:szCs w:val="24"/>
          <w:u w:val="single"/>
        </w:rPr>
      </w:pPr>
      <w:r w:rsidRPr="00B21D26">
        <w:rPr>
          <w:rFonts w:cstheme="minorHAnsi"/>
          <w:sz w:val="24"/>
          <w:szCs w:val="24"/>
        </w:rPr>
        <w:t>Τ</w:t>
      </w:r>
      <w:r w:rsidR="002A3C1F" w:rsidRPr="00B21D26">
        <w:rPr>
          <w:rFonts w:cstheme="minorHAnsi"/>
          <w:sz w:val="24"/>
          <w:szCs w:val="24"/>
        </w:rPr>
        <w:t>ο 64,4% των επιχειρήσεων που είναι εγκατεστημένες στα νησιά τ</w:t>
      </w:r>
      <w:r w:rsidR="00C721D3">
        <w:rPr>
          <w:rFonts w:cstheme="minorHAnsi"/>
          <w:sz w:val="24"/>
          <w:szCs w:val="24"/>
        </w:rPr>
        <w:t>ου Αιγαίου και την Κρήτη δήλωσε ότι προχώρησε</w:t>
      </w:r>
      <w:r w:rsidR="002A3C1F" w:rsidRPr="00B21D26">
        <w:rPr>
          <w:rFonts w:cstheme="minorHAnsi"/>
          <w:sz w:val="24"/>
          <w:szCs w:val="24"/>
        </w:rPr>
        <w:t xml:space="preserve"> σε αύξηση τιμών έναντι </w:t>
      </w:r>
      <w:r w:rsidR="005A25E4">
        <w:rPr>
          <w:rFonts w:cstheme="minorHAnsi"/>
          <w:sz w:val="24"/>
          <w:szCs w:val="24"/>
        </w:rPr>
        <w:t xml:space="preserve">του </w:t>
      </w:r>
      <w:r w:rsidR="002A3C1F" w:rsidRPr="00B21D26">
        <w:rPr>
          <w:rFonts w:cstheme="minorHAnsi"/>
          <w:sz w:val="24"/>
          <w:szCs w:val="24"/>
        </w:rPr>
        <w:t xml:space="preserve">61,9% στην Κεντρική Ελλάδα, </w:t>
      </w:r>
      <w:r w:rsidR="005A25E4">
        <w:rPr>
          <w:rFonts w:cstheme="minorHAnsi"/>
          <w:sz w:val="24"/>
          <w:szCs w:val="24"/>
        </w:rPr>
        <w:t xml:space="preserve">του </w:t>
      </w:r>
      <w:r w:rsidR="002A3C1F" w:rsidRPr="00B21D26">
        <w:rPr>
          <w:rFonts w:cstheme="minorHAnsi"/>
          <w:sz w:val="24"/>
          <w:szCs w:val="24"/>
        </w:rPr>
        <w:t>59,5% στη Βόρεια Ελλάδα και</w:t>
      </w:r>
      <w:r w:rsidR="005A25E4">
        <w:rPr>
          <w:rFonts w:cstheme="minorHAnsi"/>
          <w:sz w:val="24"/>
          <w:szCs w:val="24"/>
        </w:rPr>
        <w:t xml:space="preserve"> του </w:t>
      </w:r>
      <w:r w:rsidR="002A3C1F" w:rsidRPr="00B21D26">
        <w:rPr>
          <w:rFonts w:cstheme="minorHAnsi"/>
          <w:sz w:val="24"/>
          <w:szCs w:val="24"/>
        </w:rPr>
        <w:t>55,3% στην Αττική.</w:t>
      </w:r>
    </w:p>
    <w:p w:rsidR="002A3C1F" w:rsidRPr="00B21D26" w:rsidRDefault="00B97FCE" w:rsidP="00700BFC">
      <w:pPr>
        <w:spacing w:after="0" w:line="360" w:lineRule="auto"/>
        <w:rPr>
          <w:rFonts w:cstheme="minorHAnsi"/>
          <w:b/>
          <w:sz w:val="24"/>
          <w:szCs w:val="24"/>
          <w:u w:val="single"/>
        </w:rPr>
      </w:pPr>
      <w:r w:rsidRPr="00B21D26">
        <w:rPr>
          <w:rFonts w:cstheme="minorHAnsi"/>
          <w:b/>
          <w:sz w:val="24"/>
          <w:szCs w:val="24"/>
          <w:u w:val="single"/>
        </w:rPr>
        <w:t>Επιπτώσεις ανατιμήσεων</w:t>
      </w:r>
    </w:p>
    <w:p w:rsidR="00526D7A" w:rsidRPr="00B21D26" w:rsidRDefault="00526D7A" w:rsidP="00700BFC">
      <w:pPr>
        <w:pStyle w:val="a3"/>
        <w:numPr>
          <w:ilvl w:val="0"/>
          <w:numId w:val="9"/>
        </w:numPr>
        <w:spacing w:after="0" w:line="360" w:lineRule="auto"/>
        <w:jc w:val="both"/>
        <w:rPr>
          <w:rFonts w:cstheme="minorHAnsi"/>
          <w:sz w:val="24"/>
          <w:szCs w:val="24"/>
        </w:rPr>
      </w:pPr>
      <w:r w:rsidRPr="00B21D26">
        <w:rPr>
          <w:rFonts w:cstheme="minorHAnsi"/>
          <w:sz w:val="24"/>
          <w:szCs w:val="24"/>
        </w:rPr>
        <w:t xml:space="preserve">Οι αρνητικές επιπτώσεις των ανατιμήσεων για το κόστος λειτουργίας των επιχειρήσεων που είχαν καταγραφεί στην προηγούμενη έρευνα του ΙΜΕ ΓΣΕΒΕΕ (Φεβρουάριος 2022) συνεχίζονται και εντείνονται. </w:t>
      </w:r>
    </w:p>
    <w:p w:rsidR="00526D7A" w:rsidRPr="00B21D26" w:rsidRDefault="00526D7A" w:rsidP="00700BFC">
      <w:pPr>
        <w:pStyle w:val="a3"/>
        <w:numPr>
          <w:ilvl w:val="0"/>
          <w:numId w:val="9"/>
        </w:numPr>
        <w:spacing w:after="0" w:line="360" w:lineRule="auto"/>
        <w:jc w:val="both"/>
        <w:rPr>
          <w:rFonts w:cstheme="minorHAnsi"/>
          <w:sz w:val="24"/>
          <w:szCs w:val="24"/>
        </w:rPr>
      </w:pPr>
      <w:r w:rsidRPr="00B21D26">
        <w:rPr>
          <w:rFonts w:cstheme="minorHAnsi"/>
          <w:sz w:val="24"/>
          <w:szCs w:val="24"/>
        </w:rPr>
        <w:t xml:space="preserve">Από την ανάλυση των επιμέρους στοιχείων της έρευνας εκτιμήθηκε ότι το πρώτο εξάμηνο του 2022 αυξήθηκαν </w:t>
      </w:r>
      <w:proofErr w:type="spellStart"/>
      <w:r w:rsidRPr="00B21D26">
        <w:rPr>
          <w:rFonts w:cstheme="minorHAnsi"/>
          <w:sz w:val="24"/>
          <w:szCs w:val="24"/>
        </w:rPr>
        <w:t>μεσοσταθμικά</w:t>
      </w:r>
      <w:proofErr w:type="spellEnd"/>
      <w:r w:rsidRPr="00B21D26">
        <w:rPr>
          <w:rFonts w:cstheme="minorHAnsi"/>
          <w:sz w:val="24"/>
          <w:szCs w:val="24"/>
        </w:rPr>
        <w:t>:</w:t>
      </w:r>
    </w:p>
    <w:p w:rsidR="00526D7A" w:rsidRPr="00B21D26" w:rsidRDefault="00526D7A" w:rsidP="00700BFC">
      <w:pPr>
        <w:pStyle w:val="a3"/>
        <w:numPr>
          <w:ilvl w:val="1"/>
          <w:numId w:val="9"/>
        </w:numPr>
        <w:spacing w:after="0" w:line="360" w:lineRule="auto"/>
        <w:jc w:val="both"/>
        <w:rPr>
          <w:rFonts w:cstheme="minorHAnsi"/>
          <w:sz w:val="24"/>
          <w:szCs w:val="24"/>
        </w:rPr>
      </w:pPr>
      <w:r w:rsidRPr="00B21D26">
        <w:rPr>
          <w:rFonts w:cstheme="minorHAnsi"/>
          <w:sz w:val="24"/>
          <w:szCs w:val="24"/>
        </w:rPr>
        <w:t>το κόστος ενέργειας αυξήθηκε κατά 76%,</w:t>
      </w:r>
    </w:p>
    <w:p w:rsidR="00526D7A" w:rsidRPr="00B21D26" w:rsidRDefault="00526D7A" w:rsidP="00700BFC">
      <w:pPr>
        <w:pStyle w:val="a3"/>
        <w:numPr>
          <w:ilvl w:val="1"/>
          <w:numId w:val="9"/>
        </w:numPr>
        <w:spacing w:after="0" w:line="360" w:lineRule="auto"/>
        <w:jc w:val="both"/>
        <w:rPr>
          <w:rFonts w:cstheme="minorHAnsi"/>
          <w:sz w:val="24"/>
          <w:szCs w:val="24"/>
        </w:rPr>
      </w:pPr>
      <w:r w:rsidRPr="00B21D26">
        <w:rPr>
          <w:rFonts w:cstheme="minorHAnsi"/>
          <w:sz w:val="24"/>
          <w:szCs w:val="24"/>
        </w:rPr>
        <w:t>το κόστος προμήθειας πρώτων υλών και εμπορευμάτων κατά 43,5%,</w:t>
      </w:r>
    </w:p>
    <w:p w:rsidR="00526D7A" w:rsidRPr="00B21D26" w:rsidRDefault="00526D7A" w:rsidP="00700BFC">
      <w:pPr>
        <w:pStyle w:val="a3"/>
        <w:numPr>
          <w:ilvl w:val="1"/>
          <w:numId w:val="9"/>
        </w:numPr>
        <w:spacing w:after="0" w:line="360" w:lineRule="auto"/>
        <w:jc w:val="both"/>
        <w:rPr>
          <w:rFonts w:cstheme="minorHAnsi"/>
          <w:sz w:val="24"/>
          <w:szCs w:val="24"/>
        </w:rPr>
      </w:pPr>
      <w:r w:rsidRPr="00B21D26">
        <w:rPr>
          <w:rFonts w:cstheme="minorHAnsi"/>
          <w:sz w:val="24"/>
          <w:szCs w:val="24"/>
        </w:rPr>
        <w:t xml:space="preserve">το κόστος καυσίμων οχημάτων κατά 57,8%, </w:t>
      </w:r>
    </w:p>
    <w:p w:rsidR="00526D7A" w:rsidRPr="00B21D26" w:rsidRDefault="00526D7A" w:rsidP="00700BFC">
      <w:pPr>
        <w:pStyle w:val="a3"/>
        <w:numPr>
          <w:ilvl w:val="1"/>
          <w:numId w:val="9"/>
        </w:numPr>
        <w:spacing w:after="0" w:line="360" w:lineRule="auto"/>
        <w:jc w:val="both"/>
        <w:rPr>
          <w:rFonts w:cstheme="minorHAnsi"/>
          <w:sz w:val="24"/>
          <w:szCs w:val="24"/>
        </w:rPr>
      </w:pPr>
      <w:r w:rsidRPr="00B21D26">
        <w:rPr>
          <w:rFonts w:cstheme="minorHAnsi"/>
          <w:sz w:val="24"/>
          <w:szCs w:val="24"/>
        </w:rPr>
        <w:t>το κόστος προμήθειας εξοπλισμού και μηχανημάτων κατά 26,2%.</w:t>
      </w:r>
    </w:p>
    <w:p w:rsidR="00B97FCE" w:rsidRPr="00700BFC" w:rsidRDefault="00B97FCE" w:rsidP="00700BFC">
      <w:pPr>
        <w:pStyle w:val="a3"/>
        <w:numPr>
          <w:ilvl w:val="0"/>
          <w:numId w:val="9"/>
        </w:numPr>
        <w:spacing w:after="0" w:line="360" w:lineRule="auto"/>
        <w:ind w:left="357" w:hanging="357"/>
        <w:jc w:val="both"/>
        <w:rPr>
          <w:rFonts w:cstheme="minorHAnsi"/>
          <w:b/>
          <w:sz w:val="24"/>
          <w:szCs w:val="24"/>
          <w:u w:val="single"/>
        </w:rPr>
      </w:pPr>
      <w:r w:rsidRPr="00B21D26">
        <w:rPr>
          <w:rFonts w:cstheme="minorHAnsi"/>
          <w:sz w:val="24"/>
          <w:szCs w:val="24"/>
        </w:rPr>
        <w:t xml:space="preserve">Αξιολογώντας τα  μέτρα που έλαβε η κυβέρνηση το πρώτο εξάμηνο του 2022 για τη αντιμετώπιση της ακρίβειας η συντριπτική πλειονότητα των μικρών και πολύ μικρών επιχειρήσεων (59,3%) θεωρεί ότι </w:t>
      </w:r>
      <w:r w:rsidRPr="00700BFC">
        <w:rPr>
          <w:rFonts w:cstheme="minorHAnsi"/>
          <w:sz w:val="24"/>
          <w:szCs w:val="24"/>
        </w:rPr>
        <w:lastRenderedPageBreak/>
        <w:t>δεν προσέφεραν σχεδόν καμία βοήθεια, το 31,3%  τα αξιολόγησε ως αναγκαία αλλά απαιτούνται περισσότερα, ενώ μόλις το 7,4% αξιολόγησε τα μέτρα ως μια σημαντική βοήθεια.</w:t>
      </w:r>
    </w:p>
    <w:p w:rsidR="00B97FCE" w:rsidRPr="00700BFC" w:rsidRDefault="00B97FCE" w:rsidP="00700BFC">
      <w:pPr>
        <w:pStyle w:val="a3"/>
        <w:numPr>
          <w:ilvl w:val="0"/>
          <w:numId w:val="9"/>
        </w:numPr>
        <w:spacing w:after="0" w:line="360" w:lineRule="auto"/>
        <w:ind w:left="357" w:hanging="357"/>
        <w:jc w:val="both"/>
        <w:rPr>
          <w:rFonts w:cstheme="minorHAnsi"/>
          <w:b/>
          <w:sz w:val="24"/>
          <w:szCs w:val="24"/>
          <w:u w:val="single"/>
        </w:rPr>
      </w:pPr>
      <w:r w:rsidRPr="00700BFC">
        <w:rPr>
          <w:rFonts w:cstheme="minorHAnsi"/>
          <w:sz w:val="24"/>
          <w:szCs w:val="24"/>
        </w:rPr>
        <w:t>Όσον αφορά τα μέτρα που θεωρούν οι μικρές και πολύ μικρές επιχειρήσεις ως τα πλέον κατάλληλα για την αντιμετώπιση των συνεπειών της αύξησης των τιμών, από τα ευρήματα της έρευνας, προέκυψε ότι τα δύο πιο σημαντικά μέτρα για το μεγαλύτερο μέρος των επιχειρήσεων θεωρούνται η μείωση του ΦΠΑ και η μείωση των ειδικών φόρων στα καύσιμα και στην ενέργεια.</w:t>
      </w:r>
    </w:p>
    <w:p w:rsidR="002A3C1F" w:rsidRPr="00700BFC" w:rsidRDefault="00906086" w:rsidP="00700BFC">
      <w:pPr>
        <w:pStyle w:val="a3"/>
        <w:spacing w:after="0" w:line="360" w:lineRule="auto"/>
        <w:ind w:left="0"/>
        <w:jc w:val="both"/>
        <w:rPr>
          <w:rFonts w:cstheme="minorHAnsi"/>
          <w:b/>
          <w:sz w:val="24"/>
          <w:szCs w:val="24"/>
          <w:u w:val="single"/>
        </w:rPr>
      </w:pPr>
      <w:r w:rsidRPr="00700BFC">
        <w:rPr>
          <w:rFonts w:cstheme="minorHAnsi"/>
          <w:b/>
          <w:sz w:val="24"/>
          <w:szCs w:val="24"/>
          <w:u w:val="single"/>
        </w:rPr>
        <w:t xml:space="preserve">Υποχρεώσεις-οφειλές </w:t>
      </w:r>
    </w:p>
    <w:p w:rsidR="00A37704" w:rsidRPr="00700BFC" w:rsidRDefault="0045324D" w:rsidP="00700BFC">
      <w:pPr>
        <w:pStyle w:val="a3"/>
        <w:numPr>
          <w:ilvl w:val="0"/>
          <w:numId w:val="10"/>
        </w:numPr>
        <w:spacing w:after="0" w:line="360" w:lineRule="auto"/>
        <w:jc w:val="both"/>
        <w:rPr>
          <w:rFonts w:eastAsia="Times New Roman" w:cstheme="minorHAnsi"/>
          <w:b/>
          <w:color w:val="1F497D" w:themeColor="text2"/>
          <w:sz w:val="24"/>
          <w:szCs w:val="24"/>
          <w:u w:val="single"/>
        </w:rPr>
      </w:pPr>
      <w:r w:rsidRPr="00700BFC">
        <w:rPr>
          <w:rFonts w:eastAsia="Times New Roman" w:cstheme="minorHAnsi"/>
          <w:sz w:val="24"/>
          <w:szCs w:val="24"/>
        </w:rPr>
        <w:t>Τ</w:t>
      </w:r>
      <w:r w:rsidR="00A37704" w:rsidRPr="00700BFC">
        <w:rPr>
          <w:rFonts w:eastAsia="Times New Roman" w:cstheme="minorHAnsi"/>
          <w:sz w:val="24"/>
          <w:szCs w:val="24"/>
        </w:rPr>
        <w:t>ο 38,2% των μικρών και πολύ μικρών επιχειρήσ</w:t>
      </w:r>
      <w:r w:rsidR="00C721D3" w:rsidRPr="00700BFC">
        <w:rPr>
          <w:rFonts w:eastAsia="Times New Roman" w:cstheme="minorHAnsi"/>
          <w:sz w:val="24"/>
          <w:szCs w:val="24"/>
        </w:rPr>
        <w:t>εων έχει</w:t>
      </w:r>
      <w:r w:rsidR="00A37704" w:rsidRPr="00700BFC">
        <w:rPr>
          <w:rFonts w:eastAsia="Times New Roman" w:cstheme="minorHAnsi"/>
          <w:sz w:val="24"/>
          <w:szCs w:val="24"/>
        </w:rPr>
        <w:t xml:space="preserve"> τουλάχιστον 1 ληξιπρόθεσμη οφειλή, ποσοστό χαμηλότερο σε σχέση, όχι μόνο με τις προηγούμενες έρευνες που έγιναν κατά τη διάρκεια της υγειονομικής κρίσης, αλλά και σε σύγκριση με τα προ πανδημίας στοιχεία (38,7% τον Φεβρουάριο του 2020).</w:t>
      </w:r>
      <w:r w:rsidR="00A37704" w:rsidRPr="00700BFC">
        <w:rPr>
          <w:rFonts w:cstheme="minorHAnsi"/>
          <w:sz w:val="24"/>
          <w:szCs w:val="24"/>
        </w:rPr>
        <w:t xml:space="preserve"> </w:t>
      </w:r>
    </w:p>
    <w:p w:rsidR="002A3C1F" w:rsidRPr="00700BFC" w:rsidRDefault="00A37704" w:rsidP="00700BFC">
      <w:pPr>
        <w:pStyle w:val="a3"/>
        <w:numPr>
          <w:ilvl w:val="0"/>
          <w:numId w:val="10"/>
        </w:numPr>
        <w:spacing w:after="0" w:line="360" w:lineRule="auto"/>
        <w:jc w:val="both"/>
        <w:rPr>
          <w:rFonts w:eastAsia="Times New Roman" w:cstheme="minorHAnsi"/>
          <w:b/>
          <w:color w:val="1F497D" w:themeColor="text2"/>
          <w:sz w:val="24"/>
          <w:szCs w:val="24"/>
          <w:u w:val="single"/>
        </w:rPr>
      </w:pPr>
      <w:r w:rsidRPr="00700BFC">
        <w:rPr>
          <w:rFonts w:eastAsia="Times New Roman" w:cstheme="minorHAnsi"/>
          <w:sz w:val="24"/>
          <w:szCs w:val="24"/>
        </w:rPr>
        <w:t>Σημαντική μείωση καταγράφεται και στα ποσοστά των επιχειρ</w:t>
      </w:r>
      <w:bookmarkStart w:id="0" w:name="_GoBack"/>
      <w:bookmarkEnd w:id="0"/>
      <w:r w:rsidRPr="00700BFC">
        <w:rPr>
          <w:rFonts w:eastAsia="Times New Roman" w:cstheme="minorHAnsi"/>
          <w:sz w:val="24"/>
          <w:szCs w:val="24"/>
        </w:rPr>
        <w:t xml:space="preserve">ήσεων με πολλαπλές ληξιπρόθεσμες οφειλές. Συγκεκριμένα οι μικρές και πολύ μικρές επιχειρήσεις με </w:t>
      </w:r>
      <w:r w:rsidR="00A94CEE" w:rsidRPr="00700BFC">
        <w:rPr>
          <w:rFonts w:eastAsia="Times New Roman" w:cstheme="minorHAnsi"/>
          <w:sz w:val="24"/>
          <w:szCs w:val="24"/>
        </w:rPr>
        <w:t>2</w:t>
      </w:r>
      <w:r w:rsidRPr="00700BFC">
        <w:rPr>
          <w:rFonts w:eastAsia="Times New Roman" w:cstheme="minorHAnsi"/>
          <w:sz w:val="24"/>
          <w:szCs w:val="24"/>
        </w:rPr>
        <w:t xml:space="preserve"> ή και περισσότερες ληξιπρόθεσμες οφειλές υποχωρούν στο </w:t>
      </w:r>
      <w:r w:rsidR="00A94CEE" w:rsidRPr="00700BFC">
        <w:rPr>
          <w:rFonts w:eastAsia="Times New Roman" w:cstheme="minorHAnsi"/>
          <w:sz w:val="24"/>
          <w:szCs w:val="24"/>
        </w:rPr>
        <w:t>25,9</w:t>
      </w:r>
      <w:r w:rsidRPr="00700BFC">
        <w:rPr>
          <w:rFonts w:eastAsia="Times New Roman" w:cstheme="minorHAnsi"/>
          <w:sz w:val="24"/>
          <w:szCs w:val="24"/>
        </w:rPr>
        <w:t xml:space="preserve">% έναντι </w:t>
      </w:r>
      <w:r w:rsidR="00A94CEE" w:rsidRPr="00700BFC">
        <w:rPr>
          <w:rFonts w:eastAsia="Times New Roman" w:cstheme="minorHAnsi"/>
          <w:sz w:val="24"/>
          <w:szCs w:val="24"/>
        </w:rPr>
        <w:t>34,1</w:t>
      </w:r>
      <w:r w:rsidRPr="00700BFC">
        <w:rPr>
          <w:rFonts w:eastAsia="Times New Roman" w:cstheme="minorHAnsi"/>
          <w:sz w:val="24"/>
          <w:szCs w:val="24"/>
        </w:rPr>
        <w:t>% που ήταν το προηγούμενο εξάμηνο.</w:t>
      </w:r>
    </w:p>
    <w:p w:rsidR="00A37704" w:rsidRPr="00700BFC" w:rsidRDefault="00A37704" w:rsidP="00700BFC">
      <w:pPr>
        <w:pStyle w:val="a3"/>
        <w:numPr>
          <w:ilvl w:val="0"/>
          <w:numId w:val="10"/>
        </w:numPr>
        <w:spacing w:after="0" w:line="360" w:lineRule="auto"/>
        <w:jc w:val="both"/>
        <w:rPr>
          <w:rFonts w:eastAsia="Times New Roman" w:cstheme="minorHAnsi"/>
          <w:sz w:val="24"/>
          <w:szCs w:val="24"/>
        </w:rPr>
      </w:pPr>
      <w:r w:rsidRPr="00700BFC">
        <w:rPr>
          <w:rFonts w:eastAsia="Times New Roman" w:cstheme="minorHAnsi"/>
          <w:sz w:val="24"/>
          <w:szCs w:val="24"/>
        </w:rPr>
        <w:t xml:space="preserve">Ωστόσο, ο βαθμός υπερχρέωσης των μικρών και πολύ μικρών </w:t>
      </w:r>
      <w:r w:rsidR="002F4A1D" w:rsidRPr="00700BFC">
        <w:rPr>
          <w:rFonts w:eastAsia="Times New Roman" w:cstheme="minorHAnsi"/>
          <w:sz w:val="24"/>
          <w:szCs w:val="24"/>
        </w:rPr>
        <w:t>διαφοροποιείται</w:t>
      </w:r>
      <w:r w:rsidRPr="00700BFC">
        <w:rPr>
          <w:rFonts w:eastAsia="Times New Roman" w:cstheme="minorHAnsi"/>
          <w:sz w:val="24"/>
          <w:szCs w:val="24"/>
        </w:rPr>
        <w:t xml:space="preserve"> ανάλογα με τον κλάδο και το μέγεθος των επιχειρήσεων. Οι επιχειρήσεις εστίασης φαίνεται πως με διαφορά αντιμετωπίζουν το μεγαλύτερο πρόβλημα υπερχρέωσης</w:t>
      </w:r>
      <w:r w:rsidR="002F4A1D" w:rsidRPr="00700BFC">
        <w:rPr>
          <w:rFonts w:eastAsia="Times New Roman" w:cstheme="minorHAnsi"/>
          <w:sz w:val="24"/>
          <w:szCs w:val="24"/>
        </w:rPr>
        <w:t>,</w:t>
      </w:r>
      <w:r w:rsidRPr="00700BFC">
        <w:rPr>
          <w:rFonts w:eastAsia="Times New Roman" w:cstheme="minorHAnsi"/>
          <w:sz w:val="24"/>
          <w:szCs w:val="24"/>
        </w:rPr>
        <w:t xml:space="preserve"> καθώς το </w:t>
      </w:r>
      <w:r w:rsidR="00A94CEE" w:rsidRPr="00700BFC">
        <w:rPr>
          <w:rFonts w:eastAsia="Times New Roman" w:cstheme="minorHAnsi"/>
          <w:sz w:val="24"/>
          <w:szCs w:val="24"/>
        </w:rPr>
        <w:t>39,8</w:t>
      </w:r>
      <w:r w:rsidRPr="00700BFC">
        <w:rPr>
          <w:rFonts w:eastAsia="Times New Roman" w:cstheme="minorHAnsi"/>
          <w:sz w:val="24"/>
          <w:szCs w:val="24"/>
        </w:rPr>
        <w:t xml:space="preserve">% έχει </w:t>
      </w:r>
      <w:r w:rsidR="00A94CEE" w:rsidRPr="00700BFC">
        <w:rPr>
          <w:rFonts w:eastAsia="Times New Roman" w:cstheme="minorHAnsi"/>
          <w:sz w:val="24"/>
          <w:szCs w:val="24"/>
        </w:rPr>
        <w:t>2</w:t>
      </w:r>
      <w:r w:rsidRPr="00700BFC">
        <w:rPr>
          <w:rFonts w:eastAsia="Times New Roman" w:cstheme="minorHAnsi"/>
          <w:sz w:val="24"/>
          <w:szCs w:val="24"/>
        </w:rPr>
        <w:t xml:space="preserve"> ή και περισσότερες ληξιπρόθεσμες οφειλές. Ακολουθούν οι επιχειρήσεις χωρίς προσωπικό (</w:t>
      </w:r>
      <w:r w:rsidR="00A94CEE" w:rsidRPr="00700BFC">
        <w:rPr>
          <w:rFonts w:eastAsia="Times New Roman" w:cstheme="minorHAnsi"/>
          <w:sz w:val="24"/>
          <w:szCs w:val="24"/>
        </w:rPr>
        <w:t>33,5</w:t>
      </w:r>
      <w:r w:rsidRPr="00700BFC">
        <w:rPr>
          <w:rFonts w:eastAsia="Times New Roman" w:cstheme="minorHAnsi"/>
          <w:sz w:val="24"/>
          <w:szCs w:val="24"/>
        </w:rPr>
        <w:t>%) και οι επιχειρήσεις με ετήσιο κύκλο εργασιών έως 50.000 € (</w:t>
      </w:r>
      <w:r w:rsidR="00A94CEE" w:rsidRPr="00700BFC">
        <w:rPr>
          <w:rFonts w:eastAsia="Times New Roman" w:cstheme="minorHAnsi"/>
          <w:sz w:val="24"/>
          <w:szCs w:val="24"/>
        </w:rPr>
        <w:t>32,2</w:t>
      </w:r>
      <w:r w:rsidRPr="00700BFC">
        <w:rPr>
          <w:rFonts w:eastAsia="Times New Roman" w:cstheme="minorHAnsi"/>
          <w:sz w:val="24"/>
          <w:szCs w:val="24"/>
        </w:rPr>
        <w:t>%).</w:t>
      </w:r>
    </w:p>
    <w:p w:rsidR="002F4A1D" w:rsidRPr="00B21D26" w:rsidRDefault="001C04F9" w:rsidP="00700BFC">
      <w:pPr>
        <w:pStyle w:val="a3"/>
        <w:numPr>
          <w:ilvl w:val="0"/>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Για </w:t>
      </w:r>
      <w:r w:rsidR="002F4A1D" w:rsidRPr="00B21D26">
        <w:rPr>
          <w:rFonts w:eastAsia="Times New Roman" w:cstheme="minorHAnsi"/>
          <w:sz w:val="24"/>
          <w:szCs w:val="24"/>
        </w:rPr>
        <w:t xml:space="preserve">κάθε κατηγορία υποχρεώσεων, τα ευρήματα της έρευνας είναι τα εξής : </w:t>
      </w:r>
    </w:p>
    <w:p w:rsidR="002F4A1D" w:rsidRPr="00B21D26" w:rsidRDefault="002F4A1D" w:rsidP="00700BFC">
      <w:pPr>
        <w:pStyle w:val="a3"/>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19% των μικρών και πολύ μικρών επιχειρήσεων δήλωσε πως έχει ληξιπρόθεσμες οφειλές προς τον πρώην ΟΑΕΕ,</w:t>
      </w:r>
    </w:p>
    <w:p w:rsidR="002F4A1D" w:rsidRPr="00B21D26" w:rsidRDefault="002F4A1D" w:rsidP="00700BFC">
      <w:pPr>
        <w:pStyle w:val="a3"/>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17,5% δήλωσε πως έχει ληξιπρόθεσμες οφειλές σε λογαριασμούς ενέργειας,</w:t>
      </w:r>
    </w:p>
    <w:p w:rsidR="002F4A1D" w:rsidRPr="00B21D26" w:rsidRDefault="002F4A1D" w:rsidP="00700BFC">
      <w:pPr>
        <w:pStyle w:val="a3"/>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16%</w:t>
      </w:r>
      <w:r w:rsidRPr="00B21D26">
        <w:rPr>
          <w:rFonts w:cstheme="minorHAnsi"/>
          <w:sz w:val="24"/>
          <w:szCs w:val="24"/>
        </w:rPr>
        <w:t xml:space="preserve"> </w:t>
      </w:r>
      <w:r w:rsidRPr="00B21D26">
        <w:rPr>
          <w:rFonts w:eastAsia="Times New Roman" w:cstheme="minorHAnsi"/>
          <w:sz w:val="24"/>
          <w:szCs w:val="24"/>
        </w:rPr>
        <w:t>δήλωσε πως έχει ληξιπρόθεσμες οφειλές προς προμηθευτές,</w:t>
      </w:r>
    </w:p>
    <w:p w:rsidR="002F4A1D" w:rsidRPr="00B21D26" w:rsidRDefault="002F4A1D" w:rsidP="00700BFC">
      <w:pPr>
        <w:pStyle w:val="a3"/>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το 15,9% δήλωσε πως έχει ληξιπρόθεσμες οφειλές προς την εφορία,</w:t>
      </w:r>
    </w:p>
    <w:p w:rsidR="002F4A1D" w:rsidRPr="00B21D26" w:rsidRDefault="002F4A1D" w:rsidP="00700BFC">
      <w:pPr>
        <w:pStyle w:val="a3"/>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το 11,2% δήλωσε πως έχει ληξιπρόθεσμες οφειλές ενοικίου </w:t>
      </w:r>
    </w:p>
    <w:p w:rsidR="002F4A1D" w:rsidRPr="00B21D26" w:rsidRDefault="002F4A1D" w:rsidP="00700BFC">
      <w:pPr>
        <w:pStyle w:val="a3"/>
        <w:numPr>
          <w:ilvl w:val="1"/>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το 10,2% δήλωσε πως έχει ληξιπρόθεσμες τραπεζικές οφειλές. </w:t>
      </w:r>
    </w:p>
    <w:p w:rsidR="00A37704" w:rsidRPr="00B21D26" w:rsidRDefault="002F4A1D" w:rsidP="00700BFC">
      <w:pPr>
        <w:pStyle w:val="a3"/>
        <w:numPr>
          <w:ilvl w:val="1"/>
          <w:numId w:val="10"/>
        </w:numPr>
        <w:spacing w:after="0" w:line="360" w:lineRule="auto"/>
        <w:jc w:val="both"/>
        <w:rPr>
          <w:rFonts w:eastAsia="Times New Roman" w:cstheme="minorHAnsi"/>
          <w:b/>
          <w:color w:val="1F497D" w:themeColor="text2"/>
          <w:sz w:val="24"/>
          <w:szCs w:val="24"/>
          <w:u w:val="single"/>
        </w:rPr>
      </w:pPr>
      <w:r w:rsidRPr="00B21D26">
        <w:rPr>
          <w:rFonts w:eastAsia="Times New Roman" w:cstheme="minorHAnsi"/>
          <w:sz w:val="24"/>
          <w:szCs w:val="24"/>
        </w:rPr>
        <w:t>το 7,2% δήλωσε πως έχει ληξιπρόθεσμες οφειλές προς το πρώην ΙΚΑ.</w:t>
      </w:r>
      <w:r w:rsidRPr="00B21D26">
        <w:rPr>
          <w:rFonts w:cstheme="minorHAnsi"/>
          <w:sz w:val="24"/>
          <w:szCs w:val="24"/>
        </w:rPr>
        <w:t xml:space="preserve"> </w:t>
      </w:r>
    </w:p>
    <w:p w:rsidR="002F4A1D" w:rsidRPr="00B21D26" w:rsidRDefault="002F4A1D" w:rsidP="00700BFC">
      <w:pPr>
        <w:pStyle w:val="a3"/>
        <w:numPr>
          <w:ilvl w:val="0"/>
          <w:numId w:val="10"/>
        </w:numPr>
        <w:spacing w:after="0" w:line="360" w:lineRule="auto"/>
        <w:jc w:val="both"/>
        <w:rPr>
          <w:rFonts w:eastAsia="Times New Roman" w:cstheme="minorHAnsi"/>
          <w:sz w:val="24"/>
          <w:szCs w:val="24"/>
        </w:rPr>
      </w:pPr>
      <w:r w:rsidRPr="00B21D26">
        <w:rPr>
          <w:rFonts w:eastAsia="Times New Roman" w:cstheme="minorHAnsi"/>
          <w:sz w:val="24"/>
          <w:szCs w:val="24"/>
        </w:rPr>
        <w:t xml:space="preserve">Για  1 στις 2 μικρές και πολύ επιχειρήσεις που έχουν καθυστερημένες υποχρεώσεις το συνολικό ύψος οφειλών δεν ξεπερνά τα 15.000€. Αυτό σημαίνει πως η υιοθέτηση ρεαλιστικών ρυθμίσεων μπορεί να </w:t>
      </w:r>
      <w:r w:rsidRPr="00B21D26">
        <w:rPr>
          <w:rFonts w:eastAsia="Times New Roman" w:cstheme="minorHAnsi"/>
          <w:sz w:val="24"/>
          <w:szCs w:val="24"/>
        </w:rPr>
        <w:lastRenderedPageBreak/>
        <w:t xml:space="preserve">οδηγήσει στη διευθέτηση των υποχρεώσεων του μεγαλύτερου μέρους των μικρών και πολύ μικρών επιχειρήσεων που δυσκολεύονται να ανταποκριθούν σε αυτές. </w:t>
      </w:r>
    </w:p>
    <w:p w:rsidR="007A04DD" w:rsidRDefault="007A04DD" w:rsidP="00700BFC">
      <w:pPr>
        <w:spacing w:after="0" w:line="360" w:lineRule="auto"/>
        <w:jc w:val="both"/>
        <w:rPr>
          <w:rFonts w:eastAsia="Times New Roman" w:cstheme="minorHAnsi"/>
          <w:sz w:val="24"/>
          <w:szCs w:val="24"/>
        </w:rPr>
      </w:pPr>
    </w:p>
    <w:p w:rsidR="001C04F9" w:rsidRPr="00B21D26" w:rsidRDefault="0071365A" w:rsidP="00700BFC">
      <w:pPr>
        <w:spacing w:after="0" w:line="360" w:lineRule="auto"/>
        <w:jc w:val="both"/>
        <w:rPr>
          <w:rFonts w:eastAsia="Times New Roman" w:cstheme="minorHAnsi"/>
          <w:b/>
          <w:bCs/>
          <w:color w:val="222222"/>
          <w:sz w:val="24"/>
          <w:szCs w:val="24"/>
        </w:rPr>
      </w:pPr>
      <w:r>
        <w:rPr>
          <w:rFonts w:eastAsia="Times New Roman" w:cstheme="minorHAnsi"/>
          <w:b/>
          <w:bCs/>
          <w:color w:val="222222"/>
          <w:sz w:val="24"/>
          <w:szCs w:val="24"/>
        </w:rPr>
        <w:t xml:space="preserve">Β) </w:t>
      </w:r>
      <w:r w:rsidR="001C04F9" w:rsidRPr="00B21D26">
        <w:rPr>
          <w:rFonts w:eastAsia="Times New Roman" w:cstheme="minorHAnsi"/>
          <w:b/>
          <w:bCs/>
          <w:color w:val="222222"/>
          <w:sz w:val="24"/>
          <w:szCs w:val="24"/>
        </w:rPr>
        <w:t>Προ</w:t>
      </w:r>
      <w:r w:rsidR="006C0631" w:rsidRPr="00B21D26">
        <w:rPr>
          <w:rFonts w:eastAsia="Times New Roman" w:cstheme="minorHAnsi"/>
          <w:b/>
          <w:bCs/>
          <w:color w:val="222222"/>
          <w:sz w:val="24"/>
          <w:szCs w:val="24"/>
        </w:rPr>
        <w:t>σδοκίες</w:t>
      </w:r>
      <w:r w:rsidR="001C04F9" w:rsidRPr="00B21D26">
        <w:rPr>
          <w:rFonts w:eastAsia="Times New Roman" w:cstheme="minorHAnsi"/>
          <w:b/>
          <w:bCs/>
          <w:color w:val="222222"/>
          <w:sz w:val="24"/>
          <w:szCs w:val="24"/>
        </w:rPr>
        <w:t>-εκτιμήσεις για το δεύτερο εξάμηνο του 2022</w:t>
      </w:r>
    </w:p>
    <w:p w:rsidR="006C0631" w:rsidRPr="00B21D26" w:rsidRDefault="006C0631" w:rsidP="00700BFC">
      <w:pPr>
        <w:pStyle w:val="a3"/>
        <w:numPr>
          <w:ilvl w:val="0"/>
          <w:numId w:val="11"/>
        </w:numPr>
        <w:spacing w:after="0" w:line="360" w:lineRule="auto"/>
        <w:jc w:val="both"/>
        <w:rPr>
          <w:rFonts w:cstheme="minorHAnsi"/>
          <w:sz w:val="24"/>
          <w:szCs w:val="24"/>
        </w:rPr>
      </w:pPr>
      <w:r w:rsidRPr="00B21D26">
        <w:rPr>
          <w:rFonts w:cstheme="minorHAnsi"/>
          <w:sz w:val="24"/>
          <w:szCs w:val="24"/>
        </w:rPr>
        <w:t xml:space="preserve">Ο δείκτης προσδοκιών συνεχίζει να καταγράφει πολύ χαμηλές τιμές ευρισκόμενος στις 48 μονάδες, στα επίπεδα, δηλαδή, του 2017 όταν η οικονομία βίωνε ακόμα τις επιπτώσεις της κρίσης χρέους και των </w:t>
      </w:r>
      <w:r w:rsidRPr="00B21D26">
        <w:rPr>
          <w:rFonts w:cstheme="minorHAnsi"/>
          <w:sz w:val="24"/>
          <w:szCs w:val="24"/>
          <w:lang w:val="en-US"/>
        </w:rPr>
        <w:t>capital</w:t>
      </w:r>
      <w:r w:rsidRPr="00B21D26">
        <w:rPr>
          <w:rFonts w:cstheme="minorHAnsi"/>
          <w:sz w:val="24"/>
          <w:szCs w:val="24"/>
        </w:rPr>
        <w:t xml:space="preserve"> </w:t>
      </w:r>
      <w:r w:rsidRPr="00B21D26">
        <w:rPr>
          <w:rFonts w:cstheme="minorHAnsi"/>
          <w:sz w:val="24"/>
          <w:szCs w:val="24"/>
          <w:lang w:val="en-US"/>
        </w:rPr>
        <w:t>controls</w:t>
      </w:r>
      <w:r w:rsidRPr="00B21D26">
        <w:rPr>
          <w:rFonts w:cstheme="minorHAnsi"/>
          <w:sz w:val="24"/>
          <w:szCs w:val="24"/>
        </w:rPr>
        <w:t>.</w:t>
      </w:r>
    </w:p>
    <w:p w:rsidR="006C0631" w:rsidRPr="00B21D26" w:rsidRDefault="00A86E38" w:rsidP="00700BFC">
      <w:pPr>
        <w:pStyle w:val="a3"/>
        <w:numPr>
          <w:ilvl w:val="0"/>
          <w:numId w:val="11"/>
        </w:numPr>
        <w:spacing w:after="0" w:line="360" w:lineRule="auto"/>
        <w:jc w:val="both"/>
        <w:rPr>
          <w:rFonts w:cstheme="minorHAnsi"/>
          <w:sz w:val="24"/>
          <w:szCs w:val="24"/>
        </w:rPr>
      </w:pPr>
      <w:r w:rsidRPr="00B21D26">
        <w:rPr>
          <w:rFonts w:cstheme="minorHAnsi"/>
          <w:sz w:val="24"/>
          <w:szCs w:val="24"/>
        </w:rPr>
        <w:t>Ο</w:t>
      </w:r>
      <w:r w:rsidR="006C0631" w:rsidRPr="00B21D26">
        <w:rPr>
          <w:rFonts w:cstheme="minorHAnsi"/>
          <w:sz w:val="24"/>
          <w:szCs w:val="24"/>
        </w:rPr>
        <w:t xml:space="preserve">ι αρνητικές εκτιμήσεις για τον τζίρο, τη ζήτηση, την ρευστότητα και τις παραγγελίες προς προμηθευτές προσεγγίζουν το 50% ενώ αντίστοιχα οι θετικές κινούνται μόλις κοντά στο 20%. </w:t>
      </w:r>
    </w:p>
    <w:p w:rsidR="002C7173" w:rsidRPr="00B21D26" w:rsidRDefault="00C06C7E" w:rsidP="00700BFC">
      <w:pPr>
        <w:pStyle w:val="a3"/>
        <w:numPr>
          <w:ilvl w:val="0"/>
          <w:numId w:val="11"/>
        </w:numPr>
        <w:spacing w:after="0" w:line="360" w:lineRule="auto"/>
        <w:jc w:val="both"/>
        <w:rPr>
          <w:rFonts w:cstheme="minorHAnsi"/>
          <w:sz w:val="24"/>
          <w:szCs w:val="24"/>
        </w:rPr>
      </w:pPr>
      <w:r w:rsidRPr="00B21D26">
        <w:rPr>
          <w:rFonts w:cstheme="minorHAnsi"/>
          <w:sz w:val="24"/>
          <w:szCs w:val="24"/>
        </w:rPr>
        <w:t xml:space="preserve">Το 13% των μικρών και </w:t>
      </w:r>
      <w:r w:rsidR="00C721D3">
        <w:rPr>
          <w:rFonts w:cstheme="minorHAnsi"/>
          <w:sz w:val="24"/>
          <w:szCs w:val="24"/>
        </w:rPr>
        <w:t>πολύ μικρών επιχειρήσεων δήλωσε ότι θα πραγματοποιήσει</w:t>
      </w:r>
      <w:r w:rsidRPr="00B21D26">
        <w:rPr>
          <w:rFonts w:cstheme="minorHAnsi"/>
          <w:sz w:val="24"/>
          <w:szCs w:val="24"/>
        </w:rPr>
        <w:t xml:space="preserve"> κάποιας μορφής επένδυση το δεύτερο εξάμηνο του 2022. Από τα επιμέρους στοιχεία οι μεταποιη</w:t>
      </w:r>
      <w:r w:rsidR="00C721D3">
        <w:rPr>
          <w:rFonts w:cstheme="minorHAnsi"/>
          <w:sz w:val="24"/>
          <w:szCs w:val="24"/>
        </w:rPr>
        <w:t xml:space="preserve">τικές επιχειρήσεις καταγράφουν </w:t>
      </w:r>
      <w:r w:rsidRPr="00B21D26">
        <w:rPr>
          <w:rFonts w:cstheme="minorHAnsi"/>
          <w:sz w:val="24"/>
          <w:szCs w:val="24"/>
        </w:rPr>
        <w:t xml:space="preserve">το υψηλότερο ποσοστό μεταξύ των επιχειρήσεων του κλάδου που θα πραγματοποιήσουν επενδύσεις το επόμενο εξάμηνο (15,5%) και ακολουθεί ο τομέας των υπηρεσιών (14,2%).  </w:t>
      </w:r>
    </w:p>
    <w:p w:rsidR="006C0631" w:rsidRPr="00B21D26" w:rsidRDefault="002C7173" w:rsidP="00700BFC">
      <w:pPr>
        <w:pStyle w:val="a3"/>
        <w:numPr>
          <w:ilvl w:val="0"/>
          <w:numId w:val="11"/>
        </w:numPr>
        <w:spacing w:after="0" w:line="360" w:lineRule="auto"/>
        <w:jc w:val="both"/>
        <w:rPr>
          <w:rFonts w:cstheme="minorHAnsi"/>
          <w:sz w:val="24"/>
          <w:szCs w:val="24"/>
        </w:rPr>
      </w:pPr>
      <w:r w:rsidRPr="00B21D26">
        <w:rPr>
          <w:rFonts w:cstheme="minorHAnsi"/>
          <w:sz w:val="24"/>
          <w:szCs w:val="24"/>
        </w:rPr>
        <w:t>Όσον</w:t>
      </w:r>
      <w:r w:rsidR="00A86E38" w:rsidRPr="00B21D26">
        <w:rPr>
          <w:rFonts w:cstheme="minorHAnsi"/>
          <w:sz w:val="24"/>
          <w:szCs w:val="24"/>
        </w:rPr>
        <w:t xml:space="preserve"> αφορά την απασχόληση</w:t>
      </w:r>
      <w:r w:rsidR="006C0631" w:rsidRPr="00B21D26">
        <w:rPr>
          <w:rFonts w:cstheme="minorHAnsi"/>
          <w:sz w:val="24"/>
          <w:szCs w:val="24"/>
        </w:rPr>
        <w:t xml:space="preserve">, οι εκτιμήσεις των επιχειρήσεων για το 2ο εξάμηνο του 2022 </w:t>
      </w:r>
      <w:r w:rsidR="00A86E38" w:rsidRPr="00B21D26">
        <w:rPr>
          <w:rFonts w:cstheme="minorHAnsi"/>
          <w:sz w:val="24"/>
          <w:szCs w:val="24"/>
        </w:rPr>
        <w:t xml:space="preserve">είναι αισιόδοξες καθώς </w:t>
      </w:r>
      <w:r w:rsidR="006C0631" w:rsidRPr="00B21D26">
        <w:rPr>
          <w:rFonts w:cstheme="minorHAnsi"/>
          <w:sz w:val="24"/>
          <w:szCs w:val="24"/>
        </w:rPr>
        <w:t xml:space="preserve">7,9% των επιχειρήσεων </w:t>
      </w:r>
      <w:r w:rsidR="00A86E38" w:rsidRPr="00B21D26">
        <w:rPr>
          <w:rFonts w:cstheme="minorHAnsi"/>
          <w:sz w:val="24"/>
          <w:szCs w:val="24"/>
        </w:rPr>
        <w:t>δήλωσε</w:t>
      </w:r>
      <w:r w:rsidR="006C0631" w:rsidRPr="00B21D26">
        <w:rPr>
          <w:rFonts w:cstheme="minorHAnsi"/>
          <w:sz w:val="24"/>
          <w:szCs w:val="24"/>
        </w:rPr>
        <w:t xml:space="preserve"> ότι θα αυξήσ</w:t>
      </w:r>
      <w:r w:rsidR="00A86E38" w:rsidRPr="00B21D26">
        <w:rPr>
          <w:rFonts w:cstheme="minorHAnsi"/>
          <w:sz w:val="24"/>
          <w:szCs w:val="24"/>
        </w:rPr>
        <w:t>ει</w:t>
      </w:r>
      <w:r w:rsidR="006C0631" w:rsidRPr="00B21D26">
        <w:rPr>
          <w:rFonts w:cstheme="minorHAnsi"/>
          <w:sz w:val="24"/>
          <w:szCs w:val="24"/>
        </w:rPr>
        <w:t xml:space="preserve"> το προσωπικό του</w:t>
      </w:r>
      <w:r w:rsidR="00A86E38" w:rsidRPr="00B21D26">
        <w:rPr>
          <w:rFonts w:cstheme="minorHAnsi"/>
          <w:sz w:val="24"/>
          <w:szCs w:val="24"/>
        </w:rPr>
        <w:t xml:space="preserve"> έναντι του</w:t>
      </w:r>
      <w:r w:rsidR="006C0631" w:rsidRPr="00B21D26">
        <w:rPr>
          <w:rFonts w:cstheme="minorHAnsi"/>
          <w:sz w:val="24"/>
          <w:szCs w:val="24"/>
        </w:rPr>
        <w:t xml:space="preserve"> 6,7% </w:t>
      </w:r>
      <w:r w:rsidR="00A86E38" w:rsidRPr="00B21D26">
        <w:rPr>
          <w:rFonts w:cstheme="minorHAnsi"/>
          <w:sz w:val="24"/>
          <w:szCs w:val="24"/>
        </w:rPr>
        <w:t>που δήλωσε ότι θα το μειώσει.</w:t>
      </w:r>
    </w:p>
    <w:p w:rsidR="006C0631" w:rsidRPr="00B21D26" w:rsidRDefault="00A86E38" w:rsidP="00700BFC">
      <w:pPr>
        <w:pStyle w:val="a3"/>
        <w:numPr>
          <w:ilvl w:val="0"/>
          <w:numId w:val="11"/>
        </w:numPr>
        <w:spacing w:after="0" w:line="360" w:lineRule="auto"/>
        <w:jc w:val="both"/>
        <w:rPr>
          <w:rFonts w:cstheme="minorHAnsi"/>
          <w:sz w:val="24"/>
          <w:szCs w:val="24"/>
        </w:rPr>
      </w:pPr>
      <w:r w:rsidRPr="00B21D26">
        <w:rPr>
          <w:rFonts w:cstheme="minorHAnsi"/>
          <w:sz w:val="24"/>
          <w:szCs w:val="24"/>
        </w:rPr>
        <w:t xml:space="preserve">Οι μεταποιητικές επιχειρήσεις είναι εκείνες που με κατά κύριο λόγο </w:t>
      </w:r>
      <w:r w:rsidR="002C7173" w:rsidRPr="00B21D26">
        <w:rPr>
          <w:rFonts w:cstheme="minorHAnsi"/>
          <w:sz w:val="24"/>
          <w:szCs w:val="24"/>
        </w:rPr>
        <w:t>διαμορφώνουν</w:t>
      </w:r>
      <w:r w:rsidRPr="00B21D26">
        <w:rPr>
          <w:rFonts w:cstheme="minorHAnsi"/>
          <w:sz w:val="24"/>
          <w:szCs w:val="24"/>
        </w:rPr>
        <w:t xml:space="preserve"> το θετικό ισοζύγιο στην απασχόληση καθώς το 8,3% εκτιμά ότι θα προχωρήσει σε προσλήψεις έναντι του 4,7% που θα κάνει μειώσεις. </w:t>
      </w:r>
      <w:r w:rsidR="006C0631" w:rsidRPr="00B21D26">
        <w:rPr>
          <w:rFonts w:cstheme="minorHAnsi"/>
          <w:sz w:val="24"/>
          <w:szCs w:val="24"/>
        </w:rPr>
        <w:t xml:space="preserve"> </w:t>
      </w:r>
    </w:p>
    <w:p w:rsidR="006C0631" w:rsidRPr="00B21D26" w:rsidRDefault="006C0631" w:rsidP="00700BFC">
      <w:pPr>
        <w:pStyle w:val="a3"/>
        <w:numPr>
          <w:ilvl w:val="0"/>
          <w:numId w:val="11"/>
        </w:numPr>
        <w:spacing w:after="0" w:line="360" w:lineRule="auto"/>
        <w:jc w:val="both"/>
        <w:rPr>
          <w:rFonts w:cstheme="minorHAnsi"/>
          <w:sz w:val="24"/>
          <w:szCs w:val="24"/>
        </w:rPr>
      </w:pPr>
      <w:r w:rsidRPr="00B21D26">
        <w:rPr>
          <w:rFonts w:cstheme="minorHAnsi"/>
          <w:sz w:val="24"/>
          <w:szCs w:val="24"/>
        </w:rPr>
        <w:t>Η ανοδική τάση των τιμών φαίνεται πως θα συνεχιστεί και το επόμενο εξάμηνο</w:t>
      </w:r>
      <w:r w:rsidR="002C7173" w:rsidRPr="00B21D26">
        <w:rPr>
          <w:rFonts w:cstheme="minorHAnsi"/>
          <w:sz w:val="24"/>
          <w:szCs w:val="24"/>
        </w:rPr>
        <w:t xml:space="preserve">, καθώς το 38,7% των μικρών και </w:t>
      </w:r>
      <w:r w:rsidR="00C721D3">
        <w:rPr>
          <w:rFonts w:cstheme="minorHAnsi"/>
          <w:sz w:val="24"/>
          <w:szCs w:val="24"/>
        </w:rPr>
        <w:t>πολύ μικρών επιχειρήσεων δήλωσε ότι θα αυξήσει</w:t>
      </w:r>
      <w:r w:rsidR="002C7173" w:rsidRPr="00B21D26">
        <w:rPr>
          <w:rFonts w:cstheme="minorHAnsi"/>
          <w:sz w:val="24"/>
          <w:szCs w:val="24"/>
        </w:rPr>
        <w:t xml:space="preserve"> τις τιμές τους έναντι του 6,7% που δήλωσε πως θα τις μειώσει.</w:t>
      </w:r>
    </w:p>
    <w:p w:rsidR="00092A0E" w:rsidRPr="00B21D26" w:rsidRDefault="006C0631" w:rsidP="00700BFC">
      <w:pPr>
        <w:pStyle w:val="a3"/>
        <w:numPr>
          <w:ilvl w:val="0"/>
          <w:numId w:val="11"/>
        </w:numPr>
        <w:spacing w:after="0" w:line="360" w:lineRule="auto"/>
        <w:jc w:val="both"/>
        <w:rPr>
          <w:rFonts w:cstheme="minorHAnsi"/>
          <w:sz w:val="24"/>
          <w:szCs w:val="24"/>
        </w:rPr>
      </w:pPr>
      <w:r w:rsidRPr="00B21D26">
        <w:rPr>
          <w:rFonts w:cstheme="minorHAnsi"/>
          <w:sz w:val="24"/>
          <w:szCs w:val="24"/>
        </w:rPr>
        <w:t xml:space="preserve">Σε κλαδικό επίπεδο τις περισσότερες επιχειρήσεις που προτίθενται να προχωρήσουν σε αύξηση τιμών συναντούμε στο εμπόριο (49,5%), ακολουθούν οι μεταποιητικές επιχειρήσεις (39,4%) και τέλος οι επιχειρήσεις του ευρύτερου τομέα των υπηρεσιών (27,8%). </w:t>
      </w:r>
    </w:p>
    <w:p w:rsidR="00092A0E" w:rsidRPr="00B21D26" w:rsidRDefault="00092A0E" w:rsidP="00700BFC">
      <w:pPr>
        <w:pStyle w:val="a3"/>
        <w:numPr>
          <w:ilvl w:val="0"/>
          <w:numId w:val="11"/>
        </w:numPr>
        <w:spacing w:after="0" w:line="360" w:lineRule="auto"/>
        <w:jc w:val="both"/>
        <w:rPr>
          <w:rFonts w:cstheme="minorHAnsi"/>
          <w:sz w:val="24"/>
          <w:szCs w:val="24"/>
        </w:rPr>
      </w:pPr>
      <w:r w:rsidRPr="00B21D26">
        <w:rPr>
          <w:rFonts w:cstheme="minorHAnsi"/>
          <w:sz w:val="24"/>
          <w:szCs w:val="24"/>
        </w:rPr>
        <w:t xml:space="preserve">Όσον αφορά τις υποχρεώσεις-οφειλές:  </w:t>
      </w:r>
    </w:p>
    <w:p w:rsidR="00092A0E" w:rsidRPr="00B21D26" w:rsidRDefault="00092A0E" w:rsidP="00700BFC">
      <w:pPr>
        <w:pStyle w:val="a3"/>
        <w:numPr>
          <w:ilvl w:val="2"/>
          <w:numId w:val="12"/>
        </w:numPr>
        <w:spacing w:after="0" w:line="360" w:lineRule="auto"/>
        <w:jc w:val="both"/>
        <w:rPr>
          <w:rFonts w:cstheme="minorHAnsi"/>
          <w:sz w:val="24"/>
          <w:szCs w:val="24"/>
        </w:rPr>
      </w:pPr>
      <w:r w:rsidRPr="00B21D26">
        <w:rPr>
          <w:rFonts w:cstheme="minorHAnsi"/>
          <w:sz w:val="24"/>
          <w:szCs w:val="24"/>
        </w:rPr>
        <w:t>το 16,6% δήλωσε πως δεν θα μπορέσει να ανταποκριθεί στις υποχρεώσεις του προς τον πρώην ΟΑΕΕ,</w:t>
      </w:r>
    </w:p>
    <w:p w:rsidR="00092A0E" w:rsidRPr="00B21D26" w:rsidRDefault="00092A0E" w:rsidP="00700BFC">
      <w:pPr>
        <w:pStyle w:val="a3"/>
        <w:numPr>
          <w:ilvl w:val="2"/>
          <w:numId w:val="12"/>
        </w:numPr>
        <w:spacing w:after="0" w:line="360" w:lineRule="auto"/>
        <w:jc w:val="both"/>
        <w:rPr>
          <w:rFonts w:cstheme="minorHAnsi"/>
          <w:sz w:val="24"/>
          <w:szCs w:val="24"/>
        </w:rPr>
      </w:pPr>
      <w:r w:rsidRPr="00B21D26">
        <w:rPr>
          <w:rFonts w:cstheme="minorHAnsi"/>
          <w:sz w:val="24"/>
          <w:szCs w:val="24"/>
        </w:rPr>
        <w:t>το 15,5% δήλωσε πως δεν θα μπορέσει να ανταποκριθεί στις υποχρεώσεις του προς την εφορία,</w:t>
      </w:r>
    </w:p>
    <w:p w:rsidR="00092A0E" w:rsidRPr="00B21D26" w:rsidRDefault="00092A0E" w:rsidP="00700BFC">
      <w:pPr>
        <w:pStyle w:val="a3"/>
        <w:numPr>
          <w:ilvl w:val="2"/>
          <w:numId w:val="12"/>
        </w:numPr>
        <w:spacing w:after="0" w:line="360" w:lineRule="auto"/>
        <w:jc w:val="both"/>
        <w:rPr>
          <w:rFonts w:cstheme="minorHAnsi"/>
          <w:sz w:val="24"/>
          <w:szCs w:val="24"/>
        </w:rPr>
      </w:pPr>
      <w:r w:rsidRPr="00B21D26">
        <w:rPr>
          <w:rFonts w:cstheme="minorHAnsi"/>
          <w:sz w:val="24"/>
          <w:szCs w:val="24"/>
        </w:rPr>
        <w:lastRenderedPageBreak/>
        <w:t>το 15,4% δήλωσε πως δεν θα μπορέσει να ανταποκριθεί στις υποχρεώσεις του στους λογαριασμούς ενέργειας,</w:t>
      </w:r>
    </w:p>
    <w:p w:rsidR="00092A0E" w:rsidRPr="00B21D26" w:rsidRDefault="00092A0E" w:rsidP="00700BFC">
      <w:pPr>
        <w:pStyle w:val="a3"/>
        <w:numPr>
          <w:ilvl w:val="2"/>
          <w:numId w:val="12"/>
        </w:numPr>
        <w:spacing w:after="0" w:line="360" w:lineRule="auto"/>
        <w:jc w:val="both"/>
        <w:rPr>
          <w:rFonts w:cstheme="minorHAnsi"/>
          <w:sz w:val="24"/>
          <w:szCs w:val="24"/>
        </w:rPr>
      </w:pPr>
      <w:r w:rsidRPr="00B21D26">
        <w:rPr>
          <w:rFonts w:cstheme="minorHAnsi"/>
          <w:sz w:val="24"/>
          <w:szCs w:val="24"/>
        </w:rPr>
        <w:t>το 13,1% δήλωσε πως δεν θα μπορέσει να ανταποκριθεί στις υποχρεώσεις του προς προμηθευτές,</w:t>
      </w:r>
    </w:p>
    <w:p w:rsidR="00092A0E" w:rsidRPr="00B21D26" w:rsidRDefault="00092A0E" w:rsidP="00700BFC">
      <w:pPr>
        <w:pStyle w:val="a3"/>
        <w:numPr>
          <w:ilvl w:val="2"/>
          <w:numId w:val="12"/>
        </w:numPr>
        <w:spacing w:after="0" w:line="360" w:lineRule="auto"/>
        <w:jc w:val="both"/>
        <w:rPr>
          <w:rFonts w:cstheme="minorHAnsi"/>
          <w:sz w:val="24"/>
          <w:szCs w:val="24"/>
        </w:rPr>
      </w:pPr>
      <w:r w:rsidRPr="00B21D26">
        <w:rPr>
          <w:rFonts w:cstheme="minorHAnsi"/>
          <w:sz w:val="24"/>
          <w:szCs w:val="24"/>
        </w:rPr>
        <w:t xml:space="preserve">Το 12% δήλωσε πως δεν θα μπορέσει να ανταποκριθεί στις τραπεζικές του υποχρεώσεις. </w:t>
      </w:r>
    </w:p>
    <w:p w:rsidR="00092A0E" w:rsidRPr="00B21D26" w:rsidRDefault="00092A0E" w:rsidP="00700BFC">
      <w:pPr>
        <w:pStyle w:val="a3"/>
        <w:numPr>
          <w:ilvl w:val="2"/>
          <w:numId w:val="12"/>
        </w:numPr>
        <w:spacing w:after="0" w:line="360" w:lineRule="auto"/>
        <w:jc w:val="both"/>
        <w:rPr>
          <w:rFonts w:cstheme="minorHAnsi"/>
          <w:sz w:val="24"/>
          <w:szCs w:val="24"/>
        </w:rPr>
      </w:pPr>
      <w:r w:rsidRPr="00B21D26">
        <w:rPr>
          <w:rFonts w:cstheme="minorHAnsi"/>
          <w:sz w:val="24"/>
          <w:szCs w:val="24"/>
        </w:rPr>
        <w:t xml:space="preserve">Το 11,5% δήλωσε πως δεν θα μπορέσει να ανταποκριθεί στις υποχρεώσεις του για το ενοίκιο. </w:t>
      </w:r>
    </w:p>
    <w:p w:rsidR="006C0631" w:rsidRPr="00B21D26" w:rsidRDefault="00092A0E" w:rsidP="00700BFC">
      <w:pPr>
        <w:pStyle w:val="a3"/>
        <w:numPr>
          <w:ilvl w:val="2"/>
          <w:numId w:val="12"/>
        </w:numPr>
        <w:spacing w:after="0" w:line="360" w:lineRule="auto"/>
        <w:jc w:val="both"/>
        <w:rPr>
          <w:rFonts w:cstheme="minorHAnsi"/>
          <w:sz w:val="24"/>
          <w:szCs w:val="24"/>
        </w:rPr>
      </w:pPr>
      <w:r w:rsidRPr="00B21D26">
        <w:rPr>
          <w:rFonts w:cstheme="minorHAnsi"/>
          <w:sz w:val="24"/>
          <w:szCs w:val="24"/>
        </w:rPr>
        <w:t xml:space="preserve">Το 10,2% δήλωσε πως δεν θα μπορέσει να ανταποκριθεί στις υποχρεώσεις του προς το πρώην ΙΚΑ. </w:t>
      </w:r>
    </w:p>
    <w:p w:rsidR="00092A0E" w:rsidRPr="00437B11" w:rsidRDefault="00092A0E" w:rsidP="00700BFC">
      <w:pPr>
        <w:spacing w:after="0" w:line="360" w:lineRule="auto"/>
        <w:contextualSpacing/>
        <w:jc w:val="both"/>
        <w:rPr>
          <w:rFonts w:eastAsia="Times New Roman" w:cstheme="minorHAnsi"/>
          <w:sz w:val="24"/>
          <w:szCs w:val="24"/>
          <w:u w:val="single"/>
        </w:rPr>
      </w:pPr>
      <w:r w:rsidRPr="00437B11">
        <w:rPr>
          <w:rFonts w:eastAsia="Times New Roman" w:cstheme="minorHAnsi"/>
          <w:b/>
          <w:bCs/>
          <w:sz w:val="24"/>
          <w:szCs w:val="24"/>
          <w:u w:val="single"/>
        </w:rPr>
        <w:t xml:space="preserve">Δείκτες αβεβαιότητας και βιωσιμότητας </w:t>
      </w:r>
    </w:p>
    <w:p w:rsidR="00092A0E" w:rsidRPr="00B21D26" w:rsidRDefault="00092A0E" w:rsidP="00700BFC">
      <w:pPr>
        <w:pStyle w:val="a3"/>
        <w:numPr>
          <w:ilvl w:val="0"/>
          <w:numId w:val="13"/>
        </w:numPr>
        <w:spacing w:after="0" w:line="360" w:lineRule="auto"/>
        <w:jc w:val="both"/>
        <w:rPr>
          <w:rFonts w:eastAsia="Times New Roman" w:cstheme="minorHAnsi"/>
          <w:sz w:val="24"/>
          <w:szCs w:val="24"/>
        </w:rPr>
      </w:pPr>
      <w:r w:rsidRPr="00B21D26">
        <w:rPr>
          <w:rFonts w:eastAsia="Times New Roman" w:cstheme="minorHAnsi"/>
          <w:sz w:val="24"/>
          <w:szCs w:val="24"/>
        </w:rPr>
        <w:t xml:space="preserve">Σημαντική άνοδο παρουσιάζει ο δείκτης αβεβαιότητας των μικρών και πολύ μικρών επιχειρήσεων, καταγράφοντας το υψηλότερο επίπεδο που έχει αποτυπωθεί κατά τη διάρκεια της υγειονομικής κρίσης. </w:t>
      </w:r>
    </w:p>
    <w:p w:rsidR="00092A0E" w:rsidRPr="00B21D26" w:rsidRDefault="00092A0E" w:rsidP="00700BFC">
      <w:pPr>
        <w:pStyle w:val="a3"/>
        <w:numPr>
          <w:ilvl w:val="0"/>
          <w:numId w:val="13"/>
        </w:numPr>
        <w:spacing w:after="0" w:line="360" w:lineRule="auto"/>
        <w:jc w:val="both"/>
        <w:rPr>
          <w:rFonts w:eastAsia="Times New Roman" w:cstheme="minorHAnsi"/>
          <w:sz w:val="24"/>
          <w:szCs w:val="24"/>
        </w:rPr>
      </w:pPr>
      <w:r w:rsidRPr="00B21D26">
        <w:rPr>
          <w:rFonts w:eastAsia="Times New Roman" w:cstheme="minorHAnsi"/>
          <w:sz w:val="24"/>
          <w:szCs w:val="24"/>
        </w:rPr>
        <w:t xml:space="preserve">Συγκεκριμένα, σχεδόν 4 στις 10 επιχειρήσεις (38,6%) εκφράζουν τον φόβο για ενδεχόμενη διακοπή της δραστηριότητάς τους στο μέλλον. </w:t>
      </w:r>
    </w:p>
    <w:p w:rsidR="00092A0E" w:rsidRPr="00B21D26" w:rsidRDefault="00092A0E" w:rsidP="00700BFC">
      <w:pPr>
        <w:pStyle w:val="a3"/>
        <w:numPr>
          <w:ilvl w:val="0"/>
          <w:numId w:val="13"/>
        </w:numPr>
        <w:spacing w:after="0" w:line="360" w:lineRule="auto"/>
        <w:jc w:val="both"/>
        <w:rPr>
          <w:rFonts w:eastAsia="Times New Roman" w:cstheme="minorHAnsi"/>
          <w:sz w:val="24"/>
          <w:szCs w:val="24"/>
        </w:rPr>
      </w:pPr>
      <w:r w:rsidRPr="00B21D26">
        <w:rPr>
          <w:rFonts w:eastAsia="Times New Roman" w:cstheme="minorHAnsi"/>
          <w:sz w:val="24"/>
          <w:szCs w:val="24"/>
        </w:rPr>
        <w:t>Αντίστοιχα</w:t>
      </w:r>
      <w:r w:rsidR="00210568">
        <w:rPr>
          <w:rFonts w:eastAsia="Times New Roman" w:cstheme="minorHAnsi"/>
          <w:sz w:val="24"/>
          <w:szCs w:val="24"/>
        </w:rPr>
        <w:t>,</w:t>
      </w:r>
      <w:r w:rsidRPr="00B21D26">
        <w:rPr>
          <w:rFonts w:eastAsia="Times New Roman" w:cstheme="minorHAnsi"/>
          <w:sz w:val="24"/>
          <w:szCs w:val="24"/>
        </w:rPr>
        <w:t xml:space="preserve"> ο δείκτης βιωσιμότητας των μικρών και πολύ μικρών επιχειρήσεων καταγράφει το </w:t>
      </w:r>
      <w:r w:rsidR="00210568">
        <w:rPr>
          <w:rFonts w:eastAsia="Times New Roman" w:cstheme="minorHAnsi"/>
          <w:sz w:val="24"/>
          <w:szCs w:val="24"/>
        </w:rPr>
        <w:t>χειρότερο</w:t>
      </w:r>
      <w:r w:rsidRPr="00B21D26">
        <w:rPr>
          <w:rFonts w:eastAsia="Times New Roman" w:cstheme="minorHAnsi"/>
          <w:sz w:val="24"/>
          <w:szCs w:val="24"/>
        </w:rPr>
        <w:t xml:space="preserve"> ποσοστό από την </w:t>
      </w:r>
      <w:r w:rsidR="00F14AEE" w:rsidRPr="00B21D26">
        <w:rPr>
          <w:rFonts w:eastAsia="Times New Roman" w:cstheme="minorHAnsi"/>
          <w:sz w:val="24"/>
          <w:szCs w:val="24"/>
        </w:rPr>
        <w:t>έναρξη</w:t>
      </w:r>
      <w:r w:rsidRPr="00B21D26">
        <w:rPr>
          <w:rFonts w:eastAsia="Times New Roman" w:cstheme="minorHAnsi"/>
          <w:sz w:val="24"/>
          <w:szCs w:val="24"/>
        </w:rPr>
        <w:t xml:space="preserve"> της υγειονομικής </w:t>
      </w:r>
      <w:r w:rsidR="00F14AEE" w:rsidRPr="00B21D26">
        <w:rPr>
          <w:rFonts w:eastAsia="Times New Roman" w:cstheme="minorHAnsi"/>
          <w:sz w:val="24"/>
          <w:szCs w:val="24"/>
        </w:rPr>
        <w:t>κρίσης</w:t>
      </w:r>
      <w:r w:rsidRPr="00B21D26">
        <w:rPr>
          <w:rFonts w:eastAsia="Times New Roman" w:cstheme="minorHAnsi"/>
          <w:sz w:val="24"/>
          <w:szCs w:val="24"/>
        </w:rPr>
        <w:t xml:space="preserve"> με το </w:t>
      </w:r>
      <w:r w:rsidR="00F14AEE" w:rsidRPr="00B21D26">
        <w:rPr>
          <w:rFonts w:eastAsia="Times New Roman" w:cstheme="minorHAnsi"/>
          <w:sz w:val="24"/>
          <w:szCs w:val="24"/>
        </w:rPr>
        <w:t xml:space="preserve">6,5% των επιχειρήσεων να αντιμετωπίζει άμεσο κίνδυνο διακοπής της δραστηριότητας του. </w:t>
      </w:r>
    </w:p>
    <w:p w:rsidR="00092A0E" w:rsidRPr="00B21D26" w:rsidRDefault="00092A0E" w:rsidP="00700BFC">
      <w:pPr>
        <w:spacing w:after="0" w:line="360" w:lineRule="auto"/>
        <w:jc w:val="both"/>
        <w:rPr>
          <w:rFonts w:cstheme="minorHAnsi"/>
          <w:sz w:val="24"/>
          <w:szCs w:val="24"/>
        </w:rPr>
      </w:pPr>
    </w:p>
    <w:p w:rsidR="006C0631" w:rsidRPr="00B21D26" w:rsidRDefault="006C0631" w:rsidP="00700BFC">
      <w:pPr>
        <w:spacing w:after="0" w:line="360" w:lineRule="auto"/>
        <w:jc w:val="both"/>
        <w:rPr>
          <w:rFonts w:cstheme="minorHAnsi"/>
          <w:sz w:val="24"/>
          <w:szCs w:val="24"/>
        </w:rPr>
      </w:pPr>
    </w:p>
    <w:p w:rsidR="00F14AEE" w:rsidRPr="00B21D26" w:rsidRDefault="00F14AEE" w:rsidP="00700BFC">
      <w:pPr>
        <w:spacing w:after="0" w:line="360" w:lineRule="auto"/>
        <w:jc w:val="both"/>
        <w:rPr>
          <w:rFonts w:cstheme="minorHAnsi"/>
          <w:sz w:val="24"/>
          <w:szCs w:val="24"/>
        </w:rPr>
      </w:pPr>
    </w:p>
    <w:p w:rsidR="00F14AEE" w:rsidRPr="00B21D26" w:rsidRDefault="00F14AEE" w:rsidP="00700BFC">
      <w:pPr>
        <w:spacing w:after="0" w:line="360" w:lineRule="auto"/>
        <w:jc w:val="both"/>
        <w:rPr>
          <w:rFonts w:cstheme="minorHAnsi"/>
          <w:sz w:val="24"/>
          <w:szCs w:val="24"/>
        </w:rPr>
      </w:pPr>
    </w:p>
    <w:p w:rsidR="002A3C1F" w:rsidRPr="00B21D26" w:rsidRDefault="002A3C1F" w:rsidP="00700BFC">
      <w:pPr>
        <w:spacing w:after="0" w:line="360" w:lineRule="auto"/>
        <w:jc w:val="both"/>
        <w:rPr>
          <w:rFonts w:eastAsia="Times New Roman" w:cstheme="minorHAnsi"/>
          <w:b/>
          <w:color w:val="1F497D" w:themeColor="text2"/>
          <w:sz w:val="24"/>
          <w:szCs w:val="24"/>
          <w:u w:val="single"/>
        </w:rPr>
      </w:pPr>
    </w:p>
    <w:p w:rsidR="002A3C1F" w:rsidRPr="00B21D26" w:rsidRDefault="002A3C1F" w:rsidP="00700BFC">
      <w:pPr>
        <w:spacing w:after="0" w:line="360" w:lineRule="auto"/>
        <w:jc w:val="both"/>
        <w:rPr>
          <w:rFonts w:eastAsia="Times New Roman" w:cstheme="minorHAnsi"/>
          <w:b/>
          <w:color w:val="1F497D" w:themeColor="text2"/>
          <w:sz w:val="24"/>
          <w:szCs w:val="24"/>
          <w:u w:val="single"/>
        </w:rPr>
      </w:pPr>
    </w:p>
    <w:p w:rsidR="00F54A87" w:rsidRPr="00B21D26" w:rsidRDefault="00F54A87" w:rsidP="00700BFC">
      <w:pPr>
        <w:spacing w:after="0" w:line="360" w:lineRule="auto"/>
        <w:jc w:val="both"/>
        <w:rPr>
          <w:rFonts w:eastAsia="Times New Roman" w:cstheme="minorHAnsi"/>
          <w:b/>
          <w:color w:val="1F497D" w:themeColor="text2"/>
          <w:sz w:val="24"/>
          <w:szCs w:val="24"/>
          <w:u w:val="single"/>
        </w:rPr>
      </w:pPr>
    </w:p>
    <w:p w:rsidR="00F54A87" w:rsidRPr="00B21D26" w:rsidRDefault="00F54A87" w:rsidP="00700BFC">
      <w:pPr>
        <w:spacing w:after="0" w:line="360" w:lineRule="auto"/>
        <w:jc w:val="both"/>
        <w:rPr>
          <w:rFonts w:eastAsia="Times New Roman" w:cstheme="minorHAnsi"/>
          <w:b/>
          <w:color w:val="1F497D" w:themeColor="text2"/>
          <w:sz w:val="24"/>
          <w:szCs w:val="24"/>
          <w:u w:val="single"/>
        </w:rPr>
      </w:pPr>
    </w:p>
    <w:p w:rsidR="00F14AEE" w:rsidRPr="00B21D26" w:rsidRDefault="00F14AEE" w:rsidP="00700BFC">
      <w:pPr>
        <w:spacing w:after="0" w:line="360" w:lineRule="auto"/>
        <w:jc w:val="both"/>
        <w:rPr>
          <w:rFonts w:eastAsia="Times New Roman" w:cstheme="minorHAnsi"/>
          <w:b/>
          <w:color w:val="1F497D" w:themeColor="text2"/>
          <w:sz w:val="24"/>
          <w:szCs w:val="24"/>
          <w:u w:val="single"/>
        </w:rPr>
      </w:pPr>
    </w:p>
    <w:p w:rsidR="00F14AEE" w:rsidRDefault="00F14AEE" w:rsidP="00700BFC">
      <w:pPr>
        <w:spacing w:after="0" w:line="360" w:lineRule="auto"/>
        <w:jc w:val="both"/>
        <w:rPr>
          <w:rFonts w:ascii="Times New Roman" w:eastAsia="Times New Roman" w:hAnsi="Times New Roman" w:cs="Times New Roman"/>
          <w:b/>
          <w:color w:val="1F497D" w:themeColor="text2"/>
          <w:sz w:val="28"/>
          <w:szCs w:val="28"/>
          <w:u w:val="single"/>
        </w:rPr>
      </w:pPr>
    </w:p>
    <w:p w:rsidR="00FA002C" w:rsidRDefault="00FA002C" w:rsidP="00700BFC">
      <w:pPr>
        <w:spacing w:after="0" w:line="360" w:lineRule="auto"/>
        <w:jc w:val="both"/>
        <w:rPr>
          <w:rFonts w:eastAsia="Times New Roman" w:cstheme="minorHAnsi"/>
          <w:b/>
          <w:color w:val="1F497D" w:themeColor="text2"/>
          <w:sz w:val="32"/>
          <w:szCs w:val="32"/>
          <w:u w:val="single"/>
        </w:rPr>
      </w:pPr>
    </w:p>
    <w:p w:rsidR="00FA002C" w:rsidRDefault="00FA002C" w:rsidP="00700BFC">
      <w:pPr>
        <w:spacing w:after="0" w:line="360" w:lineRule="auto"/>
        <w:jc w:val="both"/>
        <w:rPr>
          <w:rFonts w:eastAsia="Times New Roman" w:cstheme="minorHAnsi"/>
          <w:b/>
          <w:color w:val="1F497D" w:themeColor="text2"/>
          <w:sz w:val="32"/>
          <w:szCs w:val="32"/>
          <w:u w:val="single"/>
        </w:rPr>
      </w:pPr>
    </w:p>
    <w:p w:rsidR="00FA002C" w:rsidRDefault="00FA002C" w:rsidP="00700BFC">
      <w:pPr>
        <w:spacing w:after="0" w:line="360" w:lineRule="auto"/>
        <w:jc w:val="both"/>
        <w:rPr>
          <w:rFonts w:eastAsia="Times New Roman" w:cstheme="minorHAnsi"/>
          <w:b/>
          <w:color w:val="1F497D" w:themeColor="text2"/>
          <w:sz w:val="32"/>
          <w:szCs w:val="32"/>
          <w:u w:val="single"/>
        </w:rPr>
      </w:pPr>
    </w:p>
    <w:p w:rsidR="00327B49" w:rsidRPr="00B21D26" w:rsidRDefault="00327B49" w:rsidP="00700BFC">
      <w:pPr>
        <w:spacing w:after="0" w:line="360" w:lineRule="auto"/>
        <w:jc w:val="both"/>
        <w:rPr>
          <w:rFonts w:eastAsia="Times New Roman" w:cstheme="minorHAnsi"/>
          <w:b/>
          <w:color w:val="1F497D" w:themeColor="text2"/>
          <w:sz w:val="32"/>
          <w:szCs w:val="32"/>
          <w:u w:val="single"/>
        </w:rPr>
      </w:pPr>
      <w:r w:rsidRPr="00B21D26">
        <w:rPr>
          <w:rFonts w:eastAsia="Times New Roman" w:cstheme="minorHAnsi"/>
          <w:b/>
          <w:color w:val="1F497D" w:themeColor="text2"/>
          <w:sz w:val="32"/>
          <w:szCs w:val="32"/>
          <w:u w:val="single"/>
        </w:rPr>
        <w:lastRenderedPageBreak/>
        <w:t xml:space="preserve">ΑΝΑΛΥΤΙΚΗ ΠΑΡΟΥΣΙΑΣΗ - ΑΠΟΤΕΛΕΣΜΑΤΑ ΕΡΕΥΝΑΣ </w:t>
      </w:r>
    </w:p>
    <w:p w:rsidR="001B2706" w:rsidRPr="0045324D" w:rsidRDefault="001B2706" w:rsidP="00700BFC">
      <w:pPr>
        <w:spacing w:after="0" w:line="360" w:lineRule="auto"/>
        <w:jc w:val="both"/>
        <w:rPr>
          <w:b/>
          <w:bCs/>
          <w:sz w:val="28"/>
          <w:szCs w:val="28"/>
        </w:rPr>
      </w:pPr>
    </w:p>
    <w:p w:rsidR="00853788" w:rsidRPr="0045324D" w:rsidRDefault="0071365A" w:rsidP="00700BFC">
      <w:pPr>
        <w:spacing w:after="0" w:line="360" w:lineRule="auto"/>
        <w:jc w:val="both"/>
        <w:rPr>
          <w:b/>
          <w:bCs/>
          <w:sz w:val="28"/>
          <w:szCs w:val="28"/>
        </w:rPr>
      </w:pPr>
      <w:r w:rsidRPr="0071365A">
        <w:rPr>
          <w:b/>
          <w:bCs/>
          <w:sz w:val="28"/>
          <w:szCs w:val="28"/>
        </w:rPr>
        <w:t xml:space="preserve">Α) </w:t>
      </w:r>
      <w:r w:rsidR="00C60420" w:rsidRPr="0071365A">
        <w:rPr>
          <w:b/>
          <w:bCs/>
          <w:sz w:val="28"/>
          <w:szCs w:val="28"/>
        </w:rPr>
        <w:t>ΑΠΟΤΙΜΗΣΗ ΠΡΩΤΟΥ ΕΞΑΜΗΝΟΥ 2022</w:t>
      </w:r>
    </w:p>
    <w:p w:rsidR="001B2706" w:rsidRPr="0045324D" w:rsidRDefault="001B2706" w:rsidP="00700BFC">
      <w:pPr>
        <w:spacing w:after="0" w:line="360" w:lineRule="auto"/>
        <w:jc w:val="both"/>
        <w:rPr>
          <w:b/>
          <w:bCs/>
          <w:sz w:val="28"/>
          <w:szCs w:val="28"/>
        </w:rPr>
      </w:pPr>
    </w:p>
    <w:p w:rsidR="00853788" w:rsidRPr="00B21D26" w:rsidRDefault="00853788" w:rsidP="00700BFC">
      <w:pPr>
        <w:pStyle w:val="a3"/>
        <w:numPr>
          <w:ilvl w:val="0"/>
          <w:numId w:val="4"/>
        </w:numPr>
        <w:spacing w:after="0" w:line="360" w:lineRule="auto"/>
        <w:jc w:val="both"/>
        <w:rPr>
          <w:b/>
          <w:sz w:val="24"/>
          <w:szCs w:val="24"/>
          <w:u w:val="single"/>
        </w:rPr>
      </w:pPr>
      <w:r w:rsidRPr="00B21D26">
        <w:rPr>
          <w:b/>
          <w:sz w:val="24"/>
          <w:szCs w:val="24"/>
          <w:u w:val="single"/>
        </w:rPr>
        <w:t>Δείκτης Οικονομικού Κλίματος</w:t>
      </w:r>
    </w:p>
    <w:p w:rsidR="00E83341" w:rsidRPr="00B21D26" w:rsidRDefault="00811443" w:rsidP="00700BFC">
      <w:pPr>
        <w:spacing w:after="0" w:line="360" w:lineRule="auto"/>
        <w:jc w:val="both"/>
        <w:rPr>
          <w:sz w:val="24"/>
          <w:szCs w:val="24"/>
        </w:rPr>
      </w:pPr>
      <w:r w:rsidRPr="00B21D26">
        <w:rPr>
          <w:sz w:val="24"/>
          <w:szCs w:val="24"/>
        </w:rPr>
        <w:t xml:space="preserve">Ο Δείκτης Οικονομικού Κλίματος των μικρών και πολύ μικρών επιχειρήσεων ενισχύθηκε περαιτέρω το </w:t>
      </w:r>
      <w:r w:rsidR="00A63477" w:rsidRPr="00B21D26">
        <w:rPr>
          <w:sz w:val="24"/>
          <w:szCs w:val="24"/>
        </w:rPr>
        <w:t>πρώτο</w:t>
      </w:r>
      <w:r w:rsidRPr="00B21D26">
        <w:rPr>
          <w:sz w:val="24"/>
          <w:szCs w:val="24"/>
        </w:rPr>
        <w:t xml:space="preserve"> εξάμηνο του 202</w:t>
      </w:r>
      <w:r w:rsidR="00A63477" w:rsidRPr="00B21D26">
        <w:rPr>
          <w:sz w:val="24"/>
          <w:szCs w:val="24"/>
        </w:rPr>
        <w:t>2</w:t>
      </w:r>
      <w:r w:rsidRPr="00B21D26">
        <w:rPr>
          <w:sz w:val="24"/>
          <w:szCs w:val="24"/>
        </w:rPr>
        <w:t xml:space="preserve"> σε </w:t>
      </w:r>
      <w:r w:rsidR="00155A32" w:rsidRPr="00B21D26">
        <w:rPr>
          <w:sz w:val="24"/>
          <w:szCs w:val="24"/>
        </w:rPr>
        <w:t>σύγκριση</w:t>
      </w:r>
      <w:r w:rsidR="00E83341" w:rsidRPr="00B21D26">
        <w:rPr>
          <w:sz w:val="24"/>
          <w:szCs w:val="24"/>
        </w:rPr>
        <w:t xml:space="preserve"> με τα δυο προηγούμενο </w:t>
      </w:r>
      <w:r w:rsidR="00155A32" w:rsidRPr="00B21D26">
        <w:rPr>
          <w:sz w:val="24"/>
          <w:szCs w:val="24"/>
        </w:rPr>
        <w:t xml:space="preserve">εξάμηνα </w:t>
      </w:r>
      <w:r w:rsidR="00E83341" w:rsidRPr="00B21D26">
        <w:rPr>
          <w:sz w:val="24"/>
          <w:szCs w:val="24"/>
        </w:rPr>
        <w:t xml:space="preserve">και </w:t>
      </w:r>
      <w:r w:rsidRPr="00B21D26">
        <w:rPr>
          <w:sz w:val="24"/>
          <w:szCs w:val="24"/>
        </w:rPr>
        <w:t xml:space="preserve">διαμορφώθηκε στις </w:t>
      </w:r>
      <w:r w:rsidR="00E83341" w:rsidRPr="00B21D26">
        <w:rPr>
          <w:sz w:val="24"/>
          <w:szCs w:val="24"/>
        </w:rPr>
        <w:t>54,3</w:t>
      </w:r>
      <w:r w:rsidRPr="00B21D26">
        <w:rPr>
          <w:sz w:val="24"/>
          <w:szCs w:val="24"/>
        </w:rPr>
        <w:t xml:space="preserve"> μονάδες. Ειδικότερα, </w:t>
      </w:r>
      <w:r w:rsidR="00155A32" w:rsidRPr="00B21D26">
        <w:rPr>
          <w:sz w:val="24"/>
          <w:szCs w:val="24"/>
        </w:rPr>
        <w:t xml:space="preserve">το </w:t>
      </w:r>
      <w:r w:rsidR="00E83341" w:rsidRPr="00B21D26">
        <w:rPr>
          <w:sz w:val="24"/>
          <w:szCs w:val="24"/>
        </w:rPr>
        <w:t>24,2% των μικρών και πολύ μικρών επιχειρήσεων δήλωσε πως η κατάσταση της επιχείρησης του βελτιώθηκε και το 29,1% πως παρέμεινε αμ</w:t>
      </w:r>
      <w:r w:rsidR="005A25E4">
        <w:rPr>
          <w:sz w:val="24"/>
          <w:szCs w:val="24"/>
        </w:rPr>
        <w:t>ετάβλητη. Από την άλλη μεριά το</w:t>
      </w:r>
      <w:r w:rsidRPr="00B21D26">
        <w:rPr>
          <w:sz w:val="24"/>
          <w:szCs w:val="24"/>
        </w:rPr>
        <w:t xml:space="preserve"> </w:t>
      </w:r>
      <w:r w:rsidR="00E83341" w:rsidRPr="00B21D26">
        <w:rPr>
          <w:sz w:val="24"/>
          <w:szCs w:val="24"/>
        </w:rPr>
        <w:t>45,3</w:t>
      </w:r>
      <w:r w:rsidRPr="00B21D26">
        <w:rPr>
          <w:sz w:val="24"/>
          <w:szCs w:val="24"/>
        </w:rPr>
        <w:t xml:space="preserve">% των μικρών και </w:t>
      </w:r>
      <w:r w:rsidR="00645FBA">
        <w:rPr>
          <w:sz w:val="24"/>
          <w:szCs w:val="24"/>
        </w:rPr>
        <w:t xml:space="preserve">πολύ </w:t>
      </w:r>
      <w:r w:rsidRPr="00B21D26">
        <w:rPr>
          <w:sz w:val="24"/>
          <w:szCs w:val="24"/>
        </w:rPr>
        <w:t xml:space="preserve">μικρών επιχειρήσεων δήλωσε πως η κατάστασή του επιδεινώθηκε. </w:t>
      </w:r>
    </w:p>
    <w:p w:rsidR="00323841" w:rsidRPr="00B21D26" w:rsidRDefault="00811443" w:rsidP="00700BFC">
      <w:pPr>
        <w:spacing w:after="0" w:line="360" w:lineRule="auto"/>
        <w:jc w:val="both"/>
        <w:rPr>
          <w:sz w:val="24"/>
          <w:szCs w:val="24"/>
        </w:rPr>
      </w:pPr>
      <w:r w:rsidRPr="00B21D26">
        <w:rPr>
          <w:sz w:val="24"/>
          <w:szCs w:val="24"/>
        </w:rPr>
        <w:t>Λαμβάνοντας υπόψη την καθίζηση που υπέστη</w:t>
      </w:r>
      <w:r w:rsidR="00E83341" w:rsidRPr="00B21D26">
        <w:rPr>
          <w:sz w:val="24"/>
          <w:szCs w:val="24"/>
        </w:rPr>
        <w:t xml:space="preserve"> ο δείκτης οικονομικού κλίματος</w:t>
      </w:r>
      <w:r w:rsidRPr="00B21D26">
        <w:rPr>
          <w:sz w:val="24"/>
          <w:szCs w:val="24"/>
        </w:rPr>
        <w:t xml:space="preserve"> το 2020, όπου από τις 66,4 μονάδες που ήταν πριν την πανδημία διολίσθησε στις 20,1 μονάδες, φαίνεται </w:t>
      </w:r>
      <w:r w:rsidR="00E83341" w:rsidRPr="00B21D26">
        <w:rPr>
          <w:sz w:val="24"/>
          <w:szCs w:val="24"/>
        </w:rPr>
        <w:t xml:space="preserve">ότι το πλήρες άνοιγμα της οικονομίας, η καλή τουριστική περίοδος και </w:t>
      </w:r>
      <w:r w:rsidRPr="00B21D26">
        <w:rPr>
          <w:sz w:val="24"/>
          <w:szCs w:val="24"/>
        </w:rPr>
        <w:t xml:space="preserve">τα μέτρα στήριξης </w:t>
      </w:r>
      <w:r w:rsidR="00323841" w:rsidRPr="00B21D26">
        <w:rPr>
          <w:sz w:val="24"/>
          <w:szCs w:val="24"/>
        </w:rPr>
        <w:t>που έχουν εφαρμοστεί</w:t>
      </w:r>
      <w:r w:rsidRPr="00B21D26">
        <w:rPr>
          <w:sz w:val="24"/>
          <w:szCs w:val="24"/>
        </w:rPr>
        <w:t xml:space="preserve"> αποτέλεσαν τους παράγοντες για την</w:t>
      </w:r>
      <w:r w:rsidR="00323841" w:rsidRPr="00B21D26">
        <w:rPr>
          <w:sz w:val="24"/>
          <w:szCs w:val="24"/>
        </w:rPr>
        <w:t xml:space="preserve"> περαιτέρω</w:t>
      </w:r>
      <w:r w:rsidRPr="00B21D26">
        <w:rPr>
          <w:sz w:val="24"/>
          <w:szCs w:val="24"/>
        </w:rPr>
        <w:t xml:space="preserve"> άνοδό του</w:t>
      </w:r>
      <w:r w:rsidR="00323841" w:rsidRPr="00B21D26">
        <w:rPr>
          <w:sz w:val="24"/>
          <w:szCs w:val="24"/>
        </w:rPr>
        <w:t xml:space="preserve"> για τρίτο συνεχόμενο εξάμηνο</w:t>
      </w:r>
      <w:r w:rsidR="00155A32" w:rsidRPr="00B21D26">
        <w:rPr>
          <w:sz w:val="24"/>
          <w:szCs w:val="24"/>
        </w:rPr>
        <w:t>, περιορίζοντας τις αρνητικές προσδοκίες λόγω της παράλληλης εξέλιξη</w:t>
      </w:r>
      <w:r w:rsidR="00697136" w:rsidRPr="00B21D26">
        <w:rPr>
          <w:sz w:val="24"/>
          <w:szCs w:val="24"/>
        </w:rPr>
        <w:t>ς</w:t>
      </w:r>
      <w:r w:rsidR="00155A32" w:rsidRPr="00B21D26">
        <w:rPr>
          <w:sz w:val="24"/>
          <w:szCs w:val="24"/>
        </w:rPr>
        <w:t xml:space="preserve"> της υγειονομικής, ενεργειακής και γεωπολιτικής κρίσης</w:t>
      </w:r>
      <w:r w:rsidRPr="00B21D26">
        <w:rPr>
          <w:sz w:val="24"/>
          <w:szCs w:val="24"/>
        </w:rPr>
        <w:t xml:space="preserve">. </w:t>
      </w:r>
    </w:p>
    <w:p w:rsidR="00323841" w:rsidRPr="00B21D26" w:rsidRDefault="00323841" w:rsidP="00700BFC">
      <w:pPr>
        <w:spacing w:after="0" w:line="360" w:lineRule="auto"/>
        <w:jc w:val="both"/>
        <w:rPr>
          <w:sz w:val="24"/>
          <w:szCs w:val="24"/>
        </w:rPr>
      </w:pPr>
      <w:r w:rsidRPr="00B21D26">
        <w:rPr>
          <w:sz w:val="24"/>
          <w:szCs w:val="24"/>
        </w:rPr>
        <w:t>Φαίνεται,</w:t>
      </w:r>
      <w:r w:rsidR="00155A32" w:rsidRPr="00B21D26">
        <w:rPr>
          <w:sz w:val="24"/>
          <w:szCs w:val="24"/>
        </w:rPr>
        <w:t xml:space="preserve"> δηλαδή,</w:t>
      </w:r>
      <w:r w:rsidRPr="00B21D26">
        <w:rPr>
          <w:sz w:val="24"/>
          <w:szCs w:val="24"/>
        </w:rPr>
        <w:t xml:space="preserve"> πως η κατάσταση των μικρών και πολύ μικρών επιχειρήσεων έχει σταθεροποιηθεί  παρουσιάζοντας </w:t>
      </w:r>
      <w:r w:rsidR="00155A32" w:rsidRPr="00B21D26">
        <w:rPr>
          <w:sz w:val="24"/>
          <w:szCs w:val="24"/>
        </w:rPr>
        <w:t xml:space="preserve">μάλιστα </w:t>
      </w:r>
      <w:r w:rsidRPr="00B21D26">
        <w:rPr>
          <w:sz w:val="24"/>
          <w:szCs w:val="24"/>
        </w:rPr>
        <w:t>και κάποια σημάδια ανάκαμψης, που προκύπτουν από την μείωση των καθυστερημένων υποχρεώσεων και την αύξηση της απασχόλησης.</w:t>
      </w:r>
    </w:p>
    <w:p w:rsidR="00CD0553" w:rsidRPr="00B21D26" w:rsidRDefault="00323841" w:rsidP="00700BFC">
      <w:pPr>
        <w:spacing w:after="0" w:line="360" w:lineRule="auto"/>
        <w:jc w:val="both"/>
        <w:rPr>
          <w:sz w:val="24"/>
          <w:szCs w:val="24"/>
        </w:rPr>
      </w:pPr>
      <w:r w:rsidRPr="00B21D26">
        <w:rPr>
          <w:sz w:val="24"/>
          <w:szCs w:val="24"/>
        </w:rPr>
        <w:t xml:space="preserve"> </w:t>
      </w:r>
      <w:r w:rsidR="00811443" w:rsidRPr="00B21D26">
        <w:rPr>
          <w:sz w:val="24"/>
          <w:szCs w:val="24"/>
        </w:rPr>
        <w:t xml:space="preserve">Ωστόσο, </w:t>
      </w:r>
      <w:r w:rsidR="00697136" w:rsidRPr="00B21D26">
        <w:rPr>
          <w:sz w:val="24"/>
          <w:szCs w:val="24"/>
        </w:rPr>
        <w:t>ο</w:t>
      </w:r>
      <w:r w:rsidR="00811443" w:rsidRPr="00B21D26">
        <w:rPr>
          <w:sz w:val="24"/>
          <w:szCs w:val="24"/>
        </w:rPr>
        <w:t xml:space="preserve"> Δείκτη</w:t>
      </w:r>
      <w:r w:rsidR="00697136" w:rsidRPr="00B21D26">
        <w:rPr>
          <w:sz w:val="24"/>
          <w:szCs w:val="24"/>
        </w:rPr>
        <w:t>ς</w:t>
      </w:r>
      <w:r w:rsidR="00811443" w:rsidRPr="00B21D26">
        <w:rPr>
          <w:sz w:val="24"/>
          <w:szCs w:val="24"/>
        </w:rPr>
        <w:t xml:space="preserve"> Οικονομικού Κλίματος, δεν προσέγγισε τα προ πανδημίας επίπεδα. Η ανάκαμψη που καταγράφεται για το </w:t>
      </w:r>
      <w:r w:rsidR="00697136" w:rsidRPr="00B21D26">
        <w:rPr>
          <w:sz w:val="24"/>
          <w:szCs w:val="24"/>
        </w:rPr>
        <w:t>πρώτο</w:t>
      </w:r>
      <w:r w:rsidR="00811443" w:rsidRPr="00B21D26">
        <w:rPr>
          <w:sz w:val="24"/>
          <w:szCs w:val="24"/>
        </w:rPr>
        <w:t xml:space="preserve"> εξάμηνο του 202</w:t>
      </w:r>
      <w:r w:rsidR="00697136" w:rsidRPr="00B21D26">
        <w:rPr>
          <w:sz w:val="24"/>
          <w:szCs w:val="24"/>
        </w:rPr>
        <w:t>2 επισκιάζεται από τα σοβαρά προβλήματα ρευστότητας που παρουσιάζουν οι μικρές και πολύ μικρές επιχειρήσεις και σε αυτή την έρευνα</w:t>
      </w:r>
      <w:r w:rsidR="00CD0553" w:rsidRPr="00B21D26">
        <w:rPr>
          <w:sz w:val="24"/>
          <w:szCs w:val="24"/>
        </w:rPr>
        <w:t xml:space="preserve">. </w:t>
      </w:r>
    </w:p>
    <w:p w:rsidR="00811443" w:rsidRPr="00B21D26" w:rsidRDefault="00CD0553" w:rsidP="00700BFC">
      <w:pPr>
        <w:spacing w:after="0" w:line="360" w:lineRule="auto"/>
        <w:jc w:val="both"/>
        <w:rPr>
          <w:b/>
          <w:sz w:val="24"/>
          <w:szCs w:val="24"/>
        </w:rPr>
      </w:pPr>
      <w:r w:rsidRPr="00B21D26">
        <w:rPr>
          <w:sz w:val="24"/>
          <w:szCs w:val="24"/>
        </w:rPr>
        <w:t xml:space="preserve">Επιπλέον, η οικονομική κατάσταση των επιχειρήσεων εστίασης και των μικρότερων με βάση τον κύκλο εργασιών και τον αριθμό εργαζομένων επιχειρήσεων επιδεινώνεται περαιτέρω. </w:t>
      </w:r>
      <w:r w:rsidR="00811443" w:rsidRPr="00B21D26">
        <w:rPr>
          <w:sz w:val="24"/>
          <w:szCs w:val="24"/>
        </w:rPr>
        <w:t xml:space="preserve">Για τις επιχειρήσεις αυτές, τα σοβαρά προβλήματα ρευστότητας </w:t>
      </w:r>
      <w:r w:rsidRPr="00B21D26">
        <w:rPr>
          <w:sz w:val="24"/>
          <w:szCs w:val="24"/>
        </w:rPr>
        <w:t>είναι εντονότερα</w:t>
      </w:r>
      <w:r w:rsidR="00811443" w:rsidRPr="00B21D26">
        <w:rPr>
          <w:sz w:val="24"/>
          <w:szCs w:val="24"/>
        </w:rPr>
        <w:t>, καθώς και η δυνατότητά τους να ανταποκριθούν στις υποχρεώσεις τους και να ξεφύγουν από τον φαύλο κύκλο της υπερχρέωσης.</w:t>
      </w:r>
    </w:p>
    <w:p w:rsidR="00811443" w:rsidRPr="00B21D26" w:rsidRDefault="00811443" w:rsidP="00700BFC">
      <w:pPr>
        <w:spacing w:after="0" w:line="360" w:lineRule="auto"/>
        <w:jc w:val="both"/>
        <w:rPr>
          <w:b/>
          <w:sz w:val="24"/>
          <w:szCs w:val="24"/>
          <w:u w:val="single"/>
        </w:rPr>
      </w:pPr>
    </w:p>
    <w:p w:rsidR="00853788" w:rsidRPr="00875D88" w:rsidRDefault="00FA002C" w:rsidP="00700BFC">
      <w:pPr>
        <w:spacing w:line="360" w:lineRule="auto"/>
        <w:jc w:val="both"/>
      </w:pPr>
      <w:r>
        <w:rPr>
          <w:noProof/>
        </w:rPr>
        <w:lastRenderedPageBreak/>
        <w:drawing>
          <wp:inline distT="0" distB="0" distL="0" distR="0" wp14:anchorId="5BA084FF" wp14:editId="381AFFFB">
            <wp:extent cx="6657975" cy="2800350"/>
            <wp:effectExtent l="0" t="0" r="0" b="0"/>
            <wp:docPr id="2" name="Γράφημα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83283" w:rsidRDefault="00A774AE" w:rsidP="00700BFC">
      <w:pPr>
        <w:pStyle w:val="a3"/>
        <w:numPr>
          <w:ilvl w:val="0"/>
          <w:numId w:val="4"/>
        </w:numPr>
        <w:spacing w:after="0" w:line="360" w:lineRule="auto"/>
        <w:rPr>
          <w:b/>
          <w:sz w:val="24"/>
          <w:szCs w:val="24"/>
          <w:u w:val="single"/>
        </w:rPr>
      </w:pPr>
      <w:bookmarkStart w:id="1" w:name="_Toc104456946"/>
      <w:r w:rsidRPr="006F0645">
        <w:rPr>
          <w:b/>
          <w:sz w:val="24"/>
          <w:szCs w:val="24"/>
          <w:u w:val="single"/>
        </w:rPr>
        <w:t>Κύκλος εργασιών</w:t>
      </w:r>
      <w:bookmarkEnd w:id="1"/>
    </w:p>
    <w:p w:rsidR="009C6602" w:rsidRDefault="00D66666" w:rsidP="00700BFC">
      <w:pPr>
        <w:spacing w:after="0" w:line="360" w:lineRule="auto"/>
        <w:jc w:val="both"/>
        <w:rPr>
          <w:sz w:val="24"/>
          <w:szCs w:val="24"/>
        </w:rPr>
      </w:pPr>
      <w:r>
        <w:rPr>
          <w:sz w:val="24"/>
          <w:szCs w:val="24"/>
        </w:rPr>
        <w:t xml:space="preserve">Οι επιχειρήσεις που δήλωσαν ότι είχαν πτώση του </w:t>
      </w:r>
      <w:r w:rsidR="0045324D">
        <w:rPr>
          <w:sz w:val="24"/>
          <w:szCs w:val="24"/>
        </w:rPr>
        <w:t>κύκλου εργασιών</w:t>
      </w:r>
      <w:r w:rsidR="00A02674">
        <w:rPr>
          <w:sz w:val="24"/>
          <w:szCs w:val="24"/>
        </w:rPr>
        <w:t xml:space="preserve"> κατά το πρώτο εξάμηνο του 2022</w:t>
      </w:r>
      <w:r>
        <w:rPr>
          <w:sz w:val="24"/>
          <w:szCs w:val="24"/>
        </w:rPr>
        <w:t xml:space="preserve"> επικρατούν με 46,3% αυτών που δήλωσαν αύξηση </w:t>
      </w:r>
      <w:r w:rsidR="00A02674">
        <w:rPr>
          <w:sz w:val="24"/>
          <w:szCs w:val="24"/>
        </w:rPr>
        <w:t>κύκλου εργασιών</w:t>
      </w:r>
      <w:r>
        <w:rPr>
          <w:sz w:val="24"/>
          <w:szCs w:val="24"/>
        </w:rPr>
        <w:t xml:space="preserve"> (24,2%) και αυτών που δήλωσαν ότι ο </w:t>
      </w:r>
      <w:r w:rsidR="00A02674">
        <w:rPr>
          <w:sz w:val="24"/>
          <w:szCs w:val="24"/>
        </w:rPr>
        <w:t>κύκλος εργασιών</w:t>
      </w:r>
      <w:r>
        <w:rPr>
          <w:sz w:val="24"/>
          <w:szCs w:val="24"/>
        </w:rPr>
        <w:t xml:space="preserve"> </w:t>
      </w:r>
      <w:r w:rsidR="00A02674">
        <w:rPr>
          <w:sz w:val="24"/>
          <w:szCs w:val="24"/>
        </w:rPr>
        <w:t>παρέμεινε σταθερός</w:t>
      </w:r>
      <w:r>
        <w:rPr>
          <w:sz w:val="24"/>
          <w:szCs w:val="24"/>
        </w:rPr>
        <w:t xml:space="preserve"> (26,8%) κατ</w:t>
      </w:r>
      <w:r w:rsidR="00645FBA">
        <w:rPr>
          <w:sz w:val="24"/>
          <w:szCs w:val="24"/>
        </w:rPr>
        <w:t>ά την ίδια περίοδο</w:t>
      </w:r>
      <w:r w:rsidR="00A02674">
        <w:rPr>
          <w:sz w:val="24"/>
          <w:szCs w:val="24"/>
        </w:rPr>
        <w:t>. Ε</w:t>
      </w:r>
      <w:r>
        <w:rPr>
          <w:sz w:val="24"/>
          <w:szCs w:val="24"/>
        </w:rPr>
        <w:t xml:space="preserve">ν τούτοις φαίνεται να υπάρχει μία τάση σταθεροποίησης και επιστροφής στην κανονικότητα σε σχέση με </w:t>
      </w:r>
      <w:r w:rsidR="009C6602">
        <w:rPr>
          <w:sz w:val="24"/>
          <w:szCs w:val="24"/>
        </w:rPr>
        <w:t xml:space="preserve">τις μεγάλες μειώσεις στους τζίρους που παρατηρήθηκαν </w:t>
      </w:r>
      <w:r w:rsidR="00645FBA">
        <w:rPr>
          <w:sz w:val="24"/>
          <w:szCs w:val="24"/>
        </w:rPr>
        <w:t xml:space="preserve">το 2020. Η σταθεροποίηση </w:t>
      </w:r>
      <w:r w:rsidR="00FB1157">
        <w:rPr>
          <w:sz w:val="24"/>
          <w:szCs w:val="24"/>
        </w:rPr>
        <w:t xml:space="preserve">φαίνεται τόσο από την μείωση των επιχειρήσεων που δήλωσαν μείωση </w:t>
      </w:r>
      <w:r w:rsidR="00645FBA">
        <w:rPr>
          <w:sz w:val="24"/>
          <w:szCs w:val="24"/>
        </w:rPr>
        <w:t>του κύκλου εργασιών</w:t>
      </w:r>
      <w:r w:rsidR="00FB1157">
        <w:rPr>
          <w:sz w:val="24"/>
          <w:szCs w:val="24"/>
        </w:rPr>
        <w:t xml:space="preserve"> όσο και από την αύξηση </w:t>
      </w:r>
      <w:r w:rsidR="00645FBA">
        <w:rPr>
          <w:sz w:val="24"/>
          <w:szCs w:val="24"/>
        </w:rPr>
        <w:t>αυτών</w:t>
      </w:r>
      <w:r w:rsidR="00FB1157">
        <w:rPr>
          <w:sz w:val="24"/>
          <w:szCs w:val="24"/>
        </w:rPr>
        <w:t xml:space="preserve"> που είχαν αύξηση </w:t>
      </w:r>
      <w:r w:rsidR="00645FBA">
        <w:rPr>
          <w:sz w:val="24"/>
          <w:szCs w:val="24"/>
        </w:rPr>
        <w:t>του κύκλου εργασιών</w:t>
      </w:r>
      <w:r w:rsidR="00FB1157">
        <w:rPr>
          <w:sz w:val="24"/>
          <w:szCs w:val="24"/>
        </w:rPr>
        <w:t xml:space="preserve"> ή δήλωσαν ότι ο </w:t>
      </w:r>
      <w:r w:rsidR="00645FBA">
        <w:rPr>
          <w:sz w:val="24"/>
          <w:szCs w:val="24"/>
        </w:rPr>
        <w:t>κύκλος εργασιών</w:t>
      </w:r>
      <w:r w:rsidR="00FB1157">
        <w:rPr>
          <w:sz w:val="24"/>
          <w:szCs w:val="24"/>
        </w:rPr>
        <w:t xml:space="preserve"> παρέμεινε αμετάβλητος. </w:t>
      </w:r>
    </w:p>
    <w:p w:rsidR="00E8021A" w:rsidRPr="00E8021A" w:rsidRDefault="00E8021A" w:rsidP="00700BFC">
      <w:pPr>
        <w:spacing w:after="0" w:line="360" w:lineRule="auto"/>
        <w:jc w:val="both"/>
        <w:rPr>
          <w:sz w:val="24"/>
          <w:szCs w:val="24"/>
        </w:rPr>
      </w:pPr>
      <w:r>
        <w:rPr>
          <w:sz w:val="24"/>
          <w:szCs w:val="24"/>
        </w:rPr>
        <w:t>Η</w:t>
      </w:r>
      <w:r w:rsidR="00C4272B">
        <w:rPr>
          <w:sz w:val="24"/>
          <w:szCs w:val="24"/>
        </w:rPr>
        <w:t xml:space="preserve"> εικόνα είναι καλύτερη για τη μεταποίηση και τις υπηρεσίες με ποσοστά επιχειρήσεων που δήλωσαν αύξηση </w:t>
      </w:r>
      <w:r w:rsidR="00A02674">
        <w:rPr>
          <w:sz w:val="24"/>
          <w:szCs w:val="24"/>
        </w:rPr>
        <w:t>κύκλου εργασιών</w:t>
      </w:r>
      <w:r w:rsidR="00C4272B">
        <w:rPr>
          <w:sz w:val="24"/>
          <w:szCs w:val="24"/>
        </w:rPr>
        <w:t xml:space="preserve"> (26,9%) και στους δύο τομείς</w:t>
      </w:r>
      <w:r w:rsidR="00EA4534">
        <w:rPr>
          <w:sz w:val="24"/>
          <w:szCs w:val="24"/>
        </w:rPr>
        <w:t>,</w:t>
      </w:r>
      <w:r w:rsidR="00C4272B">
        <w:rPr>
          <w:sz w:val="24"/>
          <w:szCs w:val="24"/>
        </w:rPr>
        <w:t xml:space="preserve"> ενώ σαφώς χειρότερη είναι η κατάσταση στο εμπόριο</w:t>
      </w:r>
      <w:r w:rsidR="00EA4534">
        <w:rPr>
          <w:sz w:val="24"/>
          <w:szCs w:val="24"/>
        </w:rPr>
        <w:t>.</w:t>
      </w:r>
      <w:r w:rsidR="00C4272B">
        <w:rPr>
          <w:sz w:val="24"/>
          <w:szCs w:val="24"/>
        </w:rPr>
        <w:t xml:space="preserve"> </w:t>
      </w:r>
      <w:r w:rsidR="00EA4534">
        <w:rPr>
          <w:sz w:val="24"/>
          <w:szCs w:val="24"/>
        </w:rPr>
        <w:t xml:space="preserve"> Α</w:t>
      </w:r>
      <w:r>
        <w:rPr>
          <w:sz w:val="24"/>
          <w:szCs w:val="24"/>
        </w:rPr>
        <w:t>ξίζει</w:t>
      </w:r>
      <w:r w:rsidR="00EA4534">
        <w:rPr>
          <w:sz w:val="24"/>
          <w:szCs w:val="24"/>
        </w:rPr>
        <w:t>, όμως,</w:t>
      </w:r>
      <w:r>
        <w:rPr>
          <w:sz w:val="24"/>
          <w:szCs w:val="24"/>
        </w:rPr>
        <w:t xml:space="preserve"> να σημειωθεί ότι στον κλάδο της εστίασης οι επιδόσεις είναι σαφώς χαμηλότερες σε σχέση με τον ευρύτερο τομέα των υπηρεσιών.</w:t>
      </w:r>
    </w:p>
    <w:p w:rsidR="00C4272B" w:rsidRDefault="00E8021A" w:rsidP="00700BFC">
      <w:pPr>
        <w:spacing w:after="0" w:line="360" w:lineRule="auto"/>
        <w:jc w:val="both"/>
        <w:rPr>
          <w:sz w:val="24"/>
          <w:szCs w:val="24"/>
        </w:rPr>
      </w:pPr>
      <w:r>
        <w:rPr>
          <w:sz w:val="24"/>
          <w:szCs w:val="24"/>
        </w:rPr>
        <w:t>Φ</w:t>
      </w:r>
      <w:r w:rsidR="00C4272B">
        <w:rPr>
          <w:sz w:val="24"/>
          <w:szCs w:val="24"/>
        </w:rPr>
        <w:t>αίνεται</w:t>
      </w:r>
      <w:r>
        <w:rPr>
          <w:sz w:val="24"/>
          <w:szCs w:val="24"/>
        </w:rPr>
        <w:t xml:space="preserve"> επίσης</w:t>
      </w:r>
      <w:r w:rsidR="00C4272B">
        <w:rPr>
          <w:sz w:val="24"/>
          <w:szCs w:val="24"/>
        </w:rPr>
        <w:t xml:space="preserve"> να υπάρχει μία σχεδόν γραμμική θετική σχέση με το μέγεθος των επιχειρήσεων και τις επιδόσεις τους καθώς οι επιχειρήσεις που δήλωσαν αύξηση </w:t>
      </w:r>
      <w:r w:rsidR="00A02674">
        <w:rPr>
          <w:sz w:val="24"/>
          <w:szCs w:val="24"/>
        </w:rPr>
        <w:t>κύκλου εργασιών</w:t>
      </w:r>
      <w:r w:rsidR="00C4272B">
        <w:rPr>
          <w:sz w:val="24"/>
          <w:szCs w:val="24"/>
        </w:rPr>
        <w:t xml:space="preserve"> το Α’ εξάμηνο του 2022 είναι αναλογικά περισσότερες καθώς αυξάνεται το μέγεθός τους τόσο σε όρους ετήσιου κύκλου εργασιών όσο και σε όρους αριθμού απασχολουμένων</w:t>
      </w:r>
      <w:r w:rsidR="00EA4534">
        <w:rPr>
          <w:sz w:val="24"/>
          <w:szCs w:val="24"/>
        </w:rPr>
        <w:t>,</w:t>
      </w:r>
      <w:r w:rsidR="00C4272B">
        <w:rPr>
          <w:sz w:val="24"/>
          <w:szCs w:val="24"/>
        </w:rPr>
        <w:t xml:space="preserve"> ενώ ακριβώς το αντίστροφο </w:t>
      </w:r>
      <w:r w:rsidR="00A02674">
        <w:rPr>
          <w:sz w:val="24"/>
          <w:szCs w:val="24"/>
        </w:rPr>
        <w:t>ισχύει για όσες δήλωσαν μείωση κύκλου εργασιών</w:t>
      </w:r>
      <w:r w:rsidR="00C4272B">
        <w:rPr>
          <w:sz w:val="24"/>
          <w:szCs w:val="24"/>
        </w:rPr>
        <w:t xml:space="preserve">. </w:t>
      </w:r>
    </w:p>
    <w:p w:rsidR="00C4272B" w:rsidRPr="00E8021A" w:rsidRDefault="00C4272B" w:rsidP="00700BFC">
      <w:pPr>
        <w:spacing w:after="0" w:line="360" w:lineRule="auto"/>
        <w:jc w:val="both"/>
        <w:rPr>
          <w:b/>
          <w:sz w:val="24"/>
          <w:szCs w:val="24"/>
          <w:u w:val="single"/>
        </w:rPr>
      </w:pPr>
      <w:r>
        <w:rPr>
          <w:sz w:val="24"/>
          <w:szCs w:val="24"/>
        </w:rPr>
        <w:t>Τέλος</w:t>
      </w:r>
      <w:r w:rsidR="00EA4534">
        <w:rPr>
          <w:sz w:val="24"/>
          <w:szCs w:val="24"/>
        </w:rPr>
        <w:t>,</w:t>
      </w:r>
      <w:r>
        <w:rPr>
          <w:sz w:val="24"/>
          <w:szCs w:val="24"/>
        </w:rPr>
        <w:t xml:space="preserve"> σε γεωγραφικό επίπεδο οι επιχειρήσεις που είναι εγκατεστημένες στα νησιά του Αιγαίου και στην Κρήτη </w:t>
      </w:r>
      <w:r w:rsidR="00A15C2E">
        <w:rPr>
          <w:sz w:val="24"/>
          <w:szCs w:val="24"/>
        </w:rPr>
        <w:t>είχαν σαφώς καλύτερες επιδόσεις σε σχέση με τις επιχειρήσεις στην υπόλοιπη Ελλάδα, κάτι το οποίο προφανώς αντικατοπτρίζει την ιδιαίτερα ευνοϊκή επίδοση του τουρισμού το 2022 που ήδη είχε αρχίσει να φαίνεται από το 2</w:t>
      </w:r>
      <w:r w:rsidR="00A15C2E" w:rsidRPr="00A15C2E">
        <w:rPr>
          <w:sz w:val="24"/>
          <w:szCs w:val="24"/>
          <w:vertAlign w:val="superscript"/>
        </w:rPr>
        <w:t>ο</w:t>
      </w:r>
      <w:r w:rsidR="00A15C2E">
        <w:rPr>
          <w:sz w:val="24"/>
          <w:szCs w:val="24"/>
        </w:rPr>
        <w:t xml:space="preserve"> τρίμηνο του 2022.</w:t>
      </w:r>
    </w:p>
    <w:p w:rsidR="009C6602" w:rsidRPr="009C6602" w:rsidRDefault="009C6602" w:rsidP="00700BFC">
      <w:pPr>
        <w:spacing w:after="0" w:line="360" w:lineRule="auto"/>
        <w:rPr>
          <w:b/>
          <w:sz w:val="24"/>
          <w:szCs w:val="24"/>
          <w:u w:val="single"/>
        </w:rPr>
      </w:pPr>
    </w:p>
    <w:p w:rsidR="006F0645" w:rsidRPr="00C60420" w:rsidRDefault="00FA002C" w:rsidP="00700BFC">
      <w:pPr>
        <w:spacing w:after="160" w:line="360" w:lineRule="auto"/>
        <w:jc w:val="both"/>
        <w:rPr>
          <w:rFonts w:ascii="Calibri" w:eastAsia="Calibri" w:hAnsi="Calibri" w:cs="Times New Roman"/>
        </w:rPr>
      </w:pPr>
      <w:r>
        <w:rPr>
          <w:noProof/>
        </w:rPr>
        <w:drawing>
          <wp:inline distT="0" distB="0" distL="0" distR="0" wp14:anchorId="7EDB15C0" wp14:editId="35DE5139">
            <wp:extent cx="6660515" cy="3023235"/>
            <wp:effectExtent l="0" t="0" r="0" b="0"/>
            <wp:docPr id="1" name="Γράφημα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5000" w:type="pct"/>
        <w:tblLook w:val="04A0" w:firstRow="1" w:lastRow="0" w:firstColumn="1" w:lastColumn="0" w:noHBand="0" w:noVBand="1"/>
      </w:tblPr>
      <w:tblGrid>
        <w:gridCol w:w="1110"/>
        <w:gridCol w:w="1257"/>
        <w:gridCol w:w="1128"/>
        <w:gridCol w:w="1019"/>
        <w:gridCol w:w="1021"/>
        <w:gridCol w:w="1019"/>
        <w:gridCol w:w="1019"/>
        <w:gridCol w:w="1019"/>
        <w:gridCol w:w="1023"/>
        <w:gridCol w:w="1090"/>
      </w:tblGrid>
      <w:tr w:rsidR="0010421B" w:rsidRPr="0010421B" w:rsidTr="0010421B">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rsidR="003C3D8E"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1</w:t>
            </w:r>
          </w:p>
          <w:p w:rsidR="0010421B" w:rsidRPr="0010421B" w:rsidRDefault="0010421B" w:rsidP="00700BFC">
            <w:pPr>
              <w:spacing w:after="0" w:line="360" w:lineRule="auto"/>
              <w:jc w:val="center"/>
              <w:rPr>
                <w:rFonts w:ascii="Calibri" w:eastAsia="Times New Roman" w:hAnsi="Calibri" w:cs="Calibri"/>
                <w:b/>
                <w:bCs/>
                <w:color w:val="000000"/>
                <w:sz w:val="24"/>
                <w:szCs w:val="24"/>
              </w:rPr>
            </w:pPr>
            <w:r w:rsidRPr="0010421B">
              <w:rPr>
                <w:rFonts w:ascii="Calibri" w:eastAsia="Times New Roman" w:hAnsi="Calibri" w:cs="Calibri"/>
                <w:b/>
                <w:bCs/>
                <w:color w:val="000000"/>
                <w:sz w:val="24"/>
                <w:szCs w:val="24"/>
              </w:rPr>
              <w:t>ΚΥΚΛΟΣ ΕΡΓΑΣΙΩΝ ΠΡΩΤΟΥ ΕΞΑΜΗΝΟΥ 2022 ΑΝΑ ΚΑΤΗΓΟΡΙΑ</w:t>
            </w:r>
          </w:p>
        </w:tc>
      </w:tr>
      <w:tr w:rsidR="0010421B" w:rsidRPr="0010421B" w:rsidTr="0010421B">
        <w:trPr>
          <w:trHeight w:val="300"/>
        </w:trPr>
        <w:tc>
          <w:tcPr>
            <w:tcW w:w="518"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w:t>
            </w:r>
          </w:p>
        </w:tc>
        <w:tc>
          <w:tcPr>
            <w:tcW w:w="1590" w:type="pct"/>
            <w:gridSpan w:val="3"/>
            <w:tcBorders>
              <w:top w:val="single" w:sz="4" w:space="0" w:color="auto"/>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ΚΛΑΔΟΣ</w:t>
            </w:r>
          </w:p>
        </w:tc>
        <w:tc>
          <w:tcPr>
            <w:tcW w:w="2892" w:type="pct"/>
            <w:gridSpan w:val="6"/>
            <w:tcBorders>
              <w:top w:val="single" w:sz="4" w:space="0" w:color="auto"/>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xml:space="preserve">ΕΤΗΣΙΟΣ ΚΥΚΛΟΣ ΕΡΓΑΣΙΩΝ </w:t>
            </w:r>
          </w:p>
        </w:tc>
      </w:tr>
      <w:tr w:rsidR="0010421B" w:rsidRPr="0010421B" w:rsidTr="0010421B">
        <w:trPr>
          <w:trHeight w:val="600"/>
        </w:trPr>
        <w:tc>
          <w:tcPr>
            <w:tcW w:w="518" w:type="pct"/>
            <w:vMerge/>
            <w:tcBorders>
              <w:top w:val="nil"/>
              <w:left w:val="single" w:sz="4" w:space="0" w:color="auto"/>
              <w:bottom w:val="single" w:sz="4" w:space="0" w:color="auto"/>
              <w:right w:val="single" w:sz="4" w:space="0" w:color="auto"/>
            </w:tcBorders>
            <w:vAlign w:val="center"/>
            <w:hideMark/>
          </w:tcPr>
          <w:p w:rsidR="0010421B" w:rsidRPr="0010421B" w:rsidRDefault="0010421B" w:rsidP="00700BFC">
            <w:pPr>
              <w:spacing w:after="0" w:line="360" w:lineRule="auto"/>
              <w:rPr>
                <w:rFonts w:ascii="Calibri" w:eastAsia="Times New Roman" w:hAnsi="Calibri" w:cs="Calibri"/>
                <w:b/>
                <w:bCs/>
                <w:color w:val="000000"/>
                <w:sz w:val="16"/>
                <w:szCs w:val="16"/>
              </w:rPr>
            </w:pPr>
          </w:p>
        </w:tc>
        <w:tc>
          <w:tcPr>
            <w:tcW w:w="587"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Εμπόριο</w:t>
            </w:r>
          </w:p>
        </w:tc>
        <w:tc>
          <w:tcPr>
            <w:tcW w:w="527"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Μεταποίηση</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Υπηρεσίες</w:t>
            </w:r>
          </w:p>
        </w:tc>
        <w:tc>
          <w:tcPr>
            <w:tcW w:w="476" w:type="pct"/>
            <w:tcBorders>
              <w:top w:val="nil"/>
              <w:left w:val="nil"/>
              <w:bottom w:val="single" w:sz="4" w:space="0" w:color="auto"/>
              <w:right w:val="single" w:sz="4" w:space="0" w:color="auto"/>
            </w:tcBorders>
            <w:shd w:val="clear" w:color="D9E1F2" w:fill="D9E1F2"/>
            <w:vAlign w:val="center"/>
            <w:hideMark/>
          </w:tcPr>
          <w:p w:rsidR="00E70A64"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p>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xml:space="preserve"> 50.000 €</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50.000 - 100.000 €</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100.001 - 300.000 €</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300.001 - 500.000 €</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500.001 - 1.000.000 €</w:t>
            </w:r>
          </w:p>
        </w:tc>
        <w:tc>
          <w:tcPr>
            <w:tcW w:w="510"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Πάνω από 1.000.000 €</w:t>
            </w:r>
          </w:p>
        </w:tc>
      </w:tr>
      <w:tr w:rsidR="0010421B" w:rsidRPr="0010421B"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Αυξήθηκε</w:t>
            </w:r>
          </w:p>
        </w:tc>
        <w:tc>
          <w:tcPr>
            <w:tcW w:w="58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19,7%</w:t>
            </w:r>
          </w:p>
        </w:tc>
        <w:tc>
          <w:tcPr>
            <w:tcW w:w="52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26,9%</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26,9%</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18,2%</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25,4%</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30,4%</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30,6%</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45,5%</w:t>
            </w:r>
          </w:p>
        </w:tc>
        <w:tc>
          <w:tcPr>
            <w:tcW w:w="510"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45,7%</w:t>
            </w:r>
          </w:p>
        </w:tc>
      </w:tr>
      <w:tr w:rsidR="0010421B" w:rsidRPr="0010421B"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Αμετάβλητος</w:t>
            </w:r>
          </w:p>
        </w:tc>
        <w:tc>
          <w:tcPr>
            <w:tcW w:w="58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27,4%</w:t>
            </w:r>
          </w:p>
        </w:tc>
        <w:tc>
          <w:tcPr>
            <w:tcW w:w="52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30,1%</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24,3%</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22,7%</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27,6%</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32,6%</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27,8%</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24,2%</w:t>
            </w:r>
          </w:p>
        </w:tc>
        <w:tc>
          <w:tcPr>
            <w:tcW w:w="510"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20,0%</w:t>
            </w:r>
          </w:p>
        </w:tc>
      </w:tr>
      <w:tr w:rsidR="0010421B" w:rsidRPr="0010421B"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Μειώθηκε</w:t>
            </w:r>
          </w:p>
        </w:tc>
        <w:tc>
          <w:tcPr>
            <w:tcW w:w="58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49,8%</w:t>
            </w:r>
          </w:p>
        </w:tc>
        <w:tc>
          <w:tcPr>
            <w:tcW w:w="52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40,9%</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46,3%</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56,3%</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46,3%</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35,5%</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38,9%</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30,3%</w:t>
            </w:r>
          </w:p>
        </w:tc>
        <w:tc>
          <w:tcPr>
            <w:tcW w:w="510"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34,3%</w:t>
            </w:r>
          </w:p>
        </w:tc>
      </w:tr>
      <w:tr w:rsidR="0010421B" w:rsidRPr="0010421B" w:rsidTr="0010421B">
        <w:trPr>
          <w:trHeight w:val="289"/>
        </w:trPr>
        <w:tc>
          <w:tcPr>
            <w:tcW w:w="518"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 </w:t>
            </w:r>
          </w:p>
        </w:tc>
        <w:tc>
          <w:tcPr>
            <w:tcW w:w="2067" w:type="pct"/>
            <w:gridSpan w:val="4"/>
            <w:tcBorders>
              <w:top w:val="single" w:sz="4" w:space="0" w:color="auto"/>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ΑΡΙΘΜΟΣ ΕΡΓΑΖΟΜΕΝΩΝ</w:t>
            </w:r>
          </w:p>
        </w:tc>
        <w:tc>
          <w:tcPr>
            <w:tcW w:w="1906" w:type="pct"/>
            <w:gridSpan w:val="4"/>
            <w:tcBorders>
              <w:top w:val="single" w:sz="4" w:space="0" w:color="auto"/>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ΓΕΩΓΡΑΦΙΚΗ ΠΕΡΙΟΧΗ</w:t>
            </w:r>
          </w:p>
        </w:tc>
        <w:tc>
          <w:tcPr>
            <w:tcW w:w="510"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ΥΠΟΚΛΑΔΟΣ</w:t>
            </w:r>
          </w:p>
        </w:tc>
      </w:tr>
      <w:tr w:rsidR="0010421B" w:rsidRPr="0010421B" w:rsidTr="003C3D8E">
        <w:trPr>
          <w:trHeight w:val="690"/>
        </w:trPr>
        <w:tc>
          <w:tcPr>
            <w:tcW w:w="518" w:type="pct"/>
            <w:vMerge/>
            <w:tcBorders>
              <w:top w:val="nil"/>
              <w:left w:val="single" w:sz="4" w:space="0" w:color="auto"/>
              <w:bottom w:val="single" w:sz="4" w:space="0" w:color="auto"/>
              <w:right w:val="single" w:sz="4" w:space="0" w:color="auto"/>
            </w:tcBorders>
            <w:vAlign w:val="center"/>
            <w:hideMark/>
          </w:tcPr>
          <w:p w:rsidR="0010421B" w:rsidRPr="0010421B" w:rsidRDefault="0010421B" w:rsidP="00700BFC">
            <w:pPr>
              <w:spacing w:after="0" w:line="360" w:lineRule="auto"/>
              <w:rPr>
                <w:rFonts w:ascii="Calibri" w:eastAsia="Times New Roman" w:hAnsi="Calibri" w:cs="Calibri"/>
                <w:b/>
                <w:bCs/>
                <w:color w:val="000000"/>
                <w:sz w:val="16"/>
                <w:szCs w:val="16"/>
              </w:rPr>
            </w:pPr>
          </w:p>
        </w:tc>
        <w:tc>
          <w:tcPr>
            <w:tcW w:w="587"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Χωρίς προσωπικό</w:t>
            </w:r>
          </w:p>
        </w:tc>
        <w:tc>
          <w:tcPr>
            <w:tcW w:w="527"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1 έως 4</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5 έως 9</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10 έως 49</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EL3 ΑΤΤΙΚΗ</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EL5 ΒΟΡΕΙΑ ΕΛΛΑΔΑ</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EL6 ΚΕΝΤΡΙΚΗ ΕΛΛΑΔΑ</w:t>
            </w:r>
          </w:p>
        </w:tc>
        <w:tc>
          <w:tcPr>
            <w:tcW w:w="476"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EL4 ΝΗΣΙΑ ΑΙΓΑΙΟΥ &amp; ΚΡΗΤΗ</w:t>
            </w:r>
          </w:p>
        </w:tc>
        <w:tc>
          <w:tcPr>
            <w:tcW w:w="510" w:type="pct"/>
            <w:tcBorders>
              <w:top w:val="nil"/>
              <w:left w:val="nil"/>
              <w:bottom w:val="single" w:sz="4" w:space="0" w:color="auto"/>
              <w:right w:val="single" w:sz="4" w:space="0" w:color="auto"/>
            </w:tcBorders>
            <w:shd w:val="clear" w:color="D9E1F2" w:fill="D9E1F2"/>
            <w:vAlign w:val="center"/>
            <w:hideMark/>
          </w:tcPr>
          <w:p w:rsidR="0010421B" w:rsidRPr="0010421B" w:rsidRDefault="0010421B" w:rsidP="00700BFC">
            <w:pPr>
              <w:spacing w:after="0" w:line="360" w:lineRule="auto"/>
              <w:jc w:val="center"/>
              <w:rPr>
                <w:rFonts w:ascii="Calibri" w:eastAsia="Times New Roman" w:hAnsi="Calibri" w:cs="Calibri"/>
                <w:b/>
                <w:bCs/>
                <w:color w:val="000000"/>
                <w:sz w:val="16"/>
                <w:szCs w:val="16"/>
              </w:rPr>
            </w:pPr>
            <w:r w:rsidRPr="0010421B">
              <w:rPr>
                <w:rFonts w:ascii="Calibri" w:eastAsia="Times New Roman" w:hAnsi="Calibri" w:cs="Calibri"/>
                <w:b/>
                <w:bCs/>
                <w:color w:val="000000"/>
                <w:sz w:val="16"/>
                <w:szCs w:val="16"/>
              </w:rPr>
              <w:t>Εστίαση</w:t>
            </w:r>
          </w:p>
        </w:tc>
      </w:tr>
      <w:tr w:rsidR="0010421B" w:rsidRPr="0010421B"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Αυξήθηκε</w:t>
            </w:r>
          </w:p>
        </w:tc>
        <w:tc>
          <w:tcPr>
            <w:tcW w:w="58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18,7%</w:t>
            </w:r>
          </w:p>
        </w:tc>
        <w:tc>
          <w:tcPr>
            <w:tcW w:w="52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22,6%</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33,7%</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44,2%</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24,4%</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22,6%</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19,0%</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36,5%</w:t>
            </w:r>
          </w:p>
        </w:tc>
        <w:tc>
          <w:tcPr>
            <w:tcW w:w="510"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20,5%</w:t>
            </w:r>
          </w:p>
        </w:tc>
      </w:tr>
      <w:tr w:rsidR="0010421B" w:rsidRPr="0010421B"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Αμετάβλητος</w:t>
            </w:r>
          </w:p>
        </w:tc>
        <w:tc>
          <w:tcPr>
            <w:tcW w:w="58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23,7%</w:t>
            </w:r>
          </w:p>
        </w:tc>
        <w:tc>
          <w:tcPr>
            <w:tcW w:w="52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27,5%</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34,7%</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25,0%</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26,8%</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24,9%</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25,4%</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33,7%</w:t>
            </w:r>
          </w:p>
        </w:tc>
        <w:tc>
          <w:tcPr>
            <w:tcW w:w="510"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21,9%</w:t>
            </w:r>
          </w:p>
        </w:tc>
      </w:tr>
      <w:tr w:rsidR="0010421B" w:rsidRPr="0010421B" w:rsidTr="0010421B">
        <w:trPr>
          <w:trHeight w:val="300"/>
        </w:trPr>
        <w:tc>
          <w:tcPr>
            <w:tcW w:w="518" w:type="pct"/>
            <w:tcBorders>
              <w:top w:val="nil"/>
              <w:left w:val="single" w:sz="4" w:space="0" w:color="auto"/>
              <w:bottom w:val="single" w:sz="4" w:space="0" w:color="auto"/>
              <w:right w:val="single" w:sz="4" w:space="0" w:color="auto"/>
            </w:tcBorders>
            <w:shd w:val="clear" w:color="auto" w:fill="auto"/>
            <w:noWrap/>
            <w:vAlign w:val="bottom"/>
            <w:hideMark/>
          </w:tcPr>
          <w:p w:rsidR="0010421B" w:rsidRPr="0010421B" w:rsidRDefault="0010421B" w:rsidP="00700BFC">
            <w:pPr>
              <w:spacing w:after="0" w:line="360" w:lineRule="auto"/>
              <w:rPr>
                <w:rFonts w:ascii="Calibri" w:eastAsia="Times New Roman" w:hAnsi="Calibri" w:cs="Calibri"/>
                <w:color w:val="000000"/>
                <w:sz w:val="16"/>
                <w:szCs w:val="16"/>
              </w:rPr>
            </w:pPr>
            <w:r w:rsidRPr="0010421B">
              <w:rPr>
                <w:rFonts w:ascii="Calibri" w:eastAsia="Times New Roman" w:hAnsi="Calibri" w:cs="Calibri"/>
                <w:color w:val="000000"/>
                <w:sz w:val="16"/>
                <w:szCs w:val="16"/>
              </w:rPr>
              <w:t>Μειώθηκε</w:t>
            </w:r>
          </w:p>
        </w:tc>
        <w:tc>
          <w:tcPr>
            <w:tcW w:w="58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55,0%</w:t>
            </w:r>
          </w:p>
        </w:tc>
        <w:tc>
          <w:tcPr>
            <w:tcW w:w="527"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46,6%</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29,7%</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30,8%</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45,7%</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51,2%</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52,4%</w:t>
            </w:r>
          </w:p>
        </w:tc>
        <w:tc>
          <w:tcPr>
            <w:tcW w:w="476"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26,9%</w:t>
            </w:r>
          </w:p>
        </w:tc>
        <w:tc>
          <w:tcPr>
            <w:tcW w:w="510" w:type="pct"/>
            <w:tcBorders>
              <w:top w:val="nil"/>
              <w:left w:val="nil"/>
              <w:bottom w:val="single" w:sz="4" w:space="0" w:color="auto"/>
              <w:right w:val="single" w:sz="4" w:space="0" w:color="auto"/>
            </w:tcBorders>
            <w:shd w:val="clear" w:color="auto" w:fill="auto"/>
            <w:vAlign w:val="center"/>
            <w:hideMark/>
          </w:tcPr>
          <w:p w:rsidR="0010421B" w:rsidRPr="0010421B" w:rsidRDefault="0010421B" w:rsidP="00700BFC">
            <w:pPr>
              <w:spacing w:after="0" w:line="360" w:lineRule="auto"/>
              <w:jc w:val="center"/>
              <w:rPr>
                <w:rFonts w:ascii="Calibri" w:eastAsia="Times New Roman" w:hAnsi="Calibri" w:cs="Calibri"/>
                <w:color w:val="000000"/>
                <w:sz w:val="16"/>
                <w:szCs w:val="16"/>
              </w:rPr>
            </w:pPr>
            <w:r w:rsidRPr="0010421B">
              <w:rPr>
                <w:rFonts w:ascii="Calibri" w:eastAsia="Times New Roman" w:hAnsi="Calibri" w:cs="Calibri"/>
                <w:color w:val="000000"/>
                <w:sz w:val="16"/>
                <w:szCs w:val="16"/>
              </w:rPr>
              <w:t>57,5%</w:t>
            </w:r>
          </w:p>
        </w:tc>
      </w:tr>
    </w:tbl>
    <w:p w:rsidR="006F0645" w:rsidRDefault="006F0645" w:rsidP="00700BFC">
      <w:pPr>
        <w:spacing w:after="0" w:line="360" w:lineRule="auto"/>
        <w:jc w:val="both"/>
        <w:rPr>
          <w:rFonts w:ascii="Calibri" w:eastAsia="Calibri" w:hAnsi="Calibri" w:cs="Times New Roman"/>
          <w:sz w:val="24"/>
          <w:szCs w:val="24"/>
        </w:rPr>
      </w:pPr>
    </w:p>
    <w:p w:rsidR="00E8021A" w:rsidRDefault="00166FA5"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Όσον αφορά στις επιχειρ</w:t>
      </w:r>
      <w:r w:rsidR="00A02674">
        <w:rPr>
          <w:rFonts w:ascii="Calibri" w:eastAsia="Calibri" w:hAnsi="Calibri" w:cs="Times New Roman"/>
          <w:sz w:val="24"/>
          <w:szCs w:val="24"/>
        </w:rPr>
        <w:t>ήσεις οι οποίες δήλωσαν αύξηση κύκλου εργασιών</w:t>
      </w:r>
      <w:r>
        <w:rPr>
          <w:rFonts w:ascii="Calibri" w:eastAsia="Calibri" w:hAnsi="Calibri" w:cs="Times New Roman"/>
          <w:sz w:val="24"/>
          <w:szCs w:val="24"/>
        </w:rPr>
        <w:t xml:space="preserve">, οι αυξήσεις είναι σχετικά χαμηλές καθώς η </w:t>
      </w:r>
      <w:r w:rsidR="00E70A64">
        <w:rPr>
          <w:rFonts w:ascii="Calibri" w:eastAsia="Calibri" w:hAnsi="Calibri" w:cs="Times New Roman"/>
          <w:sz w:val="24"/>
          <w:szCs w:val="24"/>
        </w:rPr>
        <w:t>πλειονότητα</w:t>
      </w:r>
      <w:r>
        <w:rPr>
          <w:rFonts w:ascii="Calibri" w:eastAsia="Calibri" w:hAnsi="Calibri" w:cs="Times New Roman"/>
          <w:sz w:val="24"/>
          <w:szCs w:val="24"/>
        </w:rPr>
        <w:t xml:space="preserve"> (3</w:t>
      </w:r>
      <w:r w:rsidR="00DF6E66">
        <w:rPr>
          <w:rFonts w:ascii="Calibri" w:eastAsia="Calibri" w:hAnsi="Calibri" w:cs="Times New Roman"/>
          <w:sz w:val="24"/>
          <w:szCs w:val="24"/>
        </w:rPr>
        <w:t>8,7</w:t>
      </w:r>
      <w:r w:rsidR="00540E4B">
        <w:rPr>
          <w:rFonts w:ascii="Calibri" w:eastAsia="Calibri" w:hAnsi="Calibri" w:cs="Times New Roman"/>
          <w:sz w:val="24"/>
          <w:szCs w:val="24"/>
        </w:rPr>
        <w:t>%) αυτών είχε</w:t>
      </w:r>
      <w:r>
        <w:rPr>
          <w:rFonts w:ascii="Calibri" w:eastAsia="Calibri" w:hAnsi="Calibri" w:cs="Times New Roman"/>
          <w:sz w:val="24"/>
          <w:szCs w:val="24"/>
        </w:rPr>
        <w:t xml:space="preserve"> αύξηση </w:t>
      </w:r>
      <w:r w:rsidR="00A02674">
        <w:rPr>
          <w:rFonts w:ascii="Calibri" w:eastAsia="Calibri" w:hAnsi="Calibri" w:cs="Times New Roman"/>
          <w:sz w:val="24"/>
          <w:szCs w:val="24"/>
        </w:rPr>
        <w:t>κύκλου εργασιών</w:t>
      </w:r>
      <w:r>
        <w:rPr>
          <w:rFonts w:ascii="Calibri" w:eastAsia="Calibri" w:hAnsi="Calibri" w:cs="Times New Roman"/>
          <w:sz w:val="24"/>
          <w:szCs w:val="24"/>
        </w:rPr>
        <w:t xml:space="preserve"> μόνο έως 10%</w:t>
      </w:r>
      <w:r w:rsidR="00A02674">
        <w:rPr>
          <w:rFonts w:ascii="Calibri" w:eastAsia="Calibri" w:hAnsi="Calibri" w:cs="Times New Roman"/>
          <w:sz w:val="24"/>
          <w:szCs w:val="24"/>
        </w:rPr>
        <w:t>,</w:t>
      </w:r>
      <w:r>
        <w:rPr>
          <w:rFonts w:ascii="Calibri" w:eastAsia="Calibri" w:hAnsi="Calibri" w:cs="Times New Roman"/>
          <w:sz w:val="24"/>
          <w:szCs w:val="24"/>
        </w:rPr>
        <w:t xml:space="preserve"> ενώ </w:t>
      </w:r>
      <w:proofErr w:type="spellStart"/>
      <w:r>
        <w:rPr>
          <w:rFonts w:ascii="Calibri" w:eastAsia="Calibri" w:hAnsi="Calibri" w:cs="Times New Roman"/>
          <w:sz w:val="24"/>
          <w:szCs w:val="24"/>
        </w:rPr>
        <w:t>μεσοσταθμικά</w:t>
      </w:r>
      <w:proofErr w:type="spellEnd"/>
      <w:r>
        <w:rPr>
          <w:rFonts w:ascii="Calibri" w:eastAsia="Calibri" w:hAnsi="Calibri" w:cs="Times New Roman"/>
          <w:sz w:val="24"/>
          <w:szCs w:val="24"/>
        </w:rPr>
        <w:t xml:space="preserve"> για το σύνολο των επιχειρήσεων που δήλωσαν αύξηση υπολογίζεται ότι κινήθηκε στο 22,4%</w:t>
      </w:r>
      <w:r w:rsidR="00EA4534">
        <w:rPr>
          <w:rFonts w:ascii="Calibri" w:eastAsia="Calibri" w:hAnsi="Calibri" w:cs="Times New Roman"/>
          <w:sz w:val="24"/>
          <w:szCs w:val="24"/>
        </w:rPr>
        <w:t>.</w:t>
      </w:r>
    </w:p>
    <w:p w:rsidR="00166FA5" w:rsidRPr="001468D1" w:rsidRDefault="00166FA5"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 xml:space="preserve">Αναφορικά με τις επιχειρήσεις που δήλωσαν μείωση </w:t>
      </w:r>
      <w:r w:rsidR="00A02674">
        <w:rPr>
          <w:rFonts w:ascii="Calibri" w:eastAsia="Calibri" w:hAnsi="Calibri" w:cs="Times New Roman"/>
          <w:sz w:val="24"/>
          <w:szCs w:val="24"/>
        </w:rPr>
        <w:t>κύκλου εργασιών</w:t>
      </w:r>
      <w:r>
        <w:rPr>
          <w:rFonts w:ascii="Calibri" w:eastAsia="Calibri" w:hAnsi="Calibri" w:cs="Times New Roman"/>
          <w:sz w:val="24"/>
          <w:szCs w:val="24"/>
        </w:rPr>
        <w:t xml:space="preserve">, </w:t>
      </w:r>
      <w:r w:rsidR="001468D1">
        <w:rPr>
          <w:rFonts w:ascii="Calibri" w:eastAsia="Calibri" w:hAnsi="Calibri" w:cs="Times New Roman"/>
          <w:sz w:val="24"/>
          <w:szCs w:val="24"/>
        </w:rPr>
        <w:t xml:space="preserve">η </w:t>
      </w:r>
      <w:r w:rsidR="00E70A64">
        <w:rPr>
          <w:rFonts w:ascii="Calibri" w:eastAsia="Calibri" w:hAnsi="Calibri" w:cs="Times New Roman"/>
          <w:sz w:val="24"/>
          <w:szCs w:val="24"/>
        </w:rPr>
        <w:t>πλειονότητα</w:t>
      </w:r>
      <w:r w:rsidR="00540E4B">
        <w:rPr>
          <w:rFonts w:ascii="Calibri" w:eastAsia="Calibri" w:hAnsi="Calibri" w:cs="Times New Roman"/>
          <w:sz w:val="24"/>
          <w:szCs w:val="24"/>
        </w:rPr>
        <w:t xml:space="preserve"> τους (27%) δήλωσε ότι είχε</w:t>
      </w:r>
      <w:r w:rsidR="001468D1">
        <w:rPr>
          <w:rFonts w:ascii="Calibri" w:eastAsia="Calibri" w:hAnsi="Calibri" w:cs="Times New Roman"/>
          <w:sz w:val="24"/>
          <w:szCs w:val="24"/>
        </w:rPr>
        <w:t xml:space="preserve"> πτώση </w:t>
      </w:r>
      <w:r w:rsidR="00A02674">
        <w:rPr>
          <w:rFonts w:ascii="Calibri" w:eastAsia="Calibri" w:hAnsi="Calibri" w:cs="Times New Roman"/>
          <w:sz w:val="24"/>
          <w:szCs w:val="24"/>
        </w:rPr>
        <w:t>κύκλου εργασιών</w:t>
      </w:r>
      <w:r w:rsidR="001468D1">
        <w:rPr>
          <w:rFonts w:ascii="Calibri" w:eastAsia="Calibri" w:hAnsi="Calibri" w:cs="Times New Roman"/>
          <w:sz w:val="24"/>
          <w:szCs w:val="24"/>
        </w:rPr>
        <w:t xml:space="preserve"> 11%-20%</w:t>
      </w:r>
      <w:r w:rsidR="00A02674">
        <w:rPr>
          <w:rFonts w:ascii="Calibri" w:eastAsia="Calibri" w:hAnsi="Calibri" w:cs="Times New Roman"/>
          <w:sz w:val="24"/>
          <w:szCs w:val="24"/>
        </w:rPr>
        <w:t>,</w:t>
      </w:r>
      <w:r w:rsidR="001468D1">
        <w:rPr>
          <w:rFonts w:ascii="Calibri" w:eastAsia="Calibri" w:hAnsi="Calibri" w:cs="Times New Roman"/>
          <w:sz w:val="24"/>
          <w:szCs w:val="24"/>
        </w:rPr>
        <w:t xml:space="preserve"> ενώ </w:t>
      </w:r>
      <w:proofErr w:type="spellStart"/>
      <w:r w:rsidR="001468D1">
        <w:rPr>
          <w:rFonts w:ascii="Calibri" w:eastAsia="Calibri" w:hAnsi="Calibri" w:cs="Times New Roman"/>
          <w:sz w:val="24"/>
          <w:szCs w:val="24"/>
        </w:rPr>
        <w:t>μεσοσταθμικά</w:t>
      </w:r>
      <w:proofErr w:type="spellEnd"/>
      <w:r w:rsidR="001468D1">
        <w:rPr>
          <w:rFonts w:ascii="Calibri" w:eastAsia="Calibri" w:hAnsi="Calibri" w:cs="Times New Roman"/>
          <w:sz w:val="24"/>
          <w:szCs w:val="24"/>
        </w:rPr>
        <w:t xml:space="preserve"> η μείωση του τζίρου ήταν 33,9% για το σύν</w:t>
      </w:r>
      <w:r w:rsidR="00540E4B">
        <w:rPr>
          <w:rFonts w:ascii="Calibri" w:eastAsia="Calibri" w:hAnsi="Calibri" w:cs="Times New Roman"/>
          <w:sz w:val="24"/>
          <w:szCs w:val="24"/>
        </w:rPr>
        <w:t>ολο των επιχειρήσεων που δήλωσε ότι είχε</w:t>
      </w:r>
      <w:r w:rsidR="001468D1">
        <w:rPr>
          <w:rFonts w:ascii="Calibri" w:eastAsia="Calibri" w:hAnsi="Calibri" w:cs="Times New Roman"/>
          <w:sz w:val="24"/>
          <w:szCs w:val="24"/>
        </w:rPr>
        <w:t xml:space="preserve"> μείωση του </w:t>
      </w:r>
      <w:r w:rsidR="00EA4534">
        <w:rPr>
          <w:rFonts w:ascii="Calibri" w:eastAsia="Calibri" w:hAnsi="Calibri" w:cs="Times New Roman"/>
          <w:sz w:val="24"/>
          <w:szCs w:val="24"/>
        </w:rPr>
        <w:t xml:space="preserve">κύκλου εργασιών </w:t>
      </w:r>
      <w:r w:rsidR="00540E4B">
        <w:rPr>
          <w:rFonts w:ascii="Calibri" w:eastAsia="Calibri" w:hAnsi="Calibri" w:cs="Times New Roman"/>
          <w:sz w:val="24"/>
          <w:szCs w:val="24"/>
        </w:rPr>
        <w:t>του</w:t>
      </w:r>
      <w:r w:rsidR="001468D1">
        <w:rPr>
          <w:rFonts w:ascii="Calibri" w:eastAsia="Calibri" w:hAnsi="Calibri" w:cs="Times New Roman"/>
          <w:sz w:val="24"/>
          <w:szCs w:val="24"/>
        </w:rPr>
        <w:t xml:space="preserve">. </w:t>
      </w:r>
    </w:p>
    <w:p w:rsidR="000877BB" w:rsidRDefault="007A04DD" w:rsidP="00700BFC">
      <w:pPr>
        <w:spacing w:after="0" w:line="360" w:lineRule="auto"/>
        <w:jc w:val="both"/>
        <w:rPr>
          <w:rFonts w:ascii="Calibri" w:eastAsia="Calibri" w:hAnsi="Calibri" w:cs="Times New Roman"/>
          <w:sz w:val="24"/>
          <w:szCs w:val="24"/>
        </w:rPr>
      </w:pPr>
      <w:r>
        <w:rPr>
          <w:noProof/>
        </w:rPr>
        <w:lastRenderedPageBreak/>
        <mc:AlternateContent>
          <mc:Choice Requires="wps">
            <w:drawing>
              <wp:anchor distT="0" distB="0" distL="114300" distR="114300" simplePos="0" relativeHeight="251661312" behindDoc="0" locked="0" layoutInCell="1" allowOverlap="1" wp14:anchorId="2CDED5E5" wp14:editId="7BC07207">
                <wp:simplePos x="0" y="0"/>
                <wp:positionH relativeFrom="column">
                  <wp:posOffset>4163060</wp:posOffset>
                </wp:positionH>
                <wp:positionV relativeFrom="paragraph">
                  <wp:posOffset>1679575</wp:posOffset>
                </wp:positionV>
                <wp:extent cx="1961515" cy="618490"/>
                <wp:effectExtent l="0" t="0" r="19685" b="10160"/>
                <wp:wrapNone/>
                <wp:docPr id="5"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1515" cy="618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4CEE" w:rsidRDefault="00A94CEE" w:rsidP="00FA002C">
                            <w:pPr>
                              <w:pStyle w:val="Web"/>
                              <w:spacing w:before="0" w:beforeAutospacing="0" w:after="0" w:afterAutospacing="0"/>
                            </w:pPr>
                            <w:r>
                              <w:rPr>
                                <w:rFonts w:asciiTheme="minorHAnsi" w:hAnsi="Calibri" w:cstheme="minorBidi"/>
                                <w:b/>
                                <w:bCs/>
                                <w:color w:val="000000"/>
                                <w:sz w:val="28"/>
                                <w:szCs w:val="28"/>
                              </w:rPr>
                              <w:t>Μ.Ο. ΑΥΞΗΣΗΣ ΚΥΚΛΟΥ ΕΡΓΑΣΙΩΝ :</w:t>
                            </w:r>
                            <w:r>
                              <w:rPr>
                                <w:rFonts w:asciiTheme="minorHAnsi" w:hAnsi="Calibri" w:cstheme="minorBidi"/>
                                <w:b/>
                                <w:bCs/>
                                <w:color w:val="000000"/>
                                <w:sz w:val="32"/>
                                <w:szCs w:val="32"/>
                              </w:rPr>
                              <w:t xml:space="preserve">  22,4%</w:t>
                            </w:r>
                          </w:p>
                        </w:txbxContent>
                      </wps:txbx>
                      <wps:bodyPr vertOverflow="clip"/>
                    </wps:wsp>
                  </a:graphicData>
                </a:graphic>
                <wp14:sizeRelH relativeFrom="page">
                  <wp14:pctWidth>0</wp14:pctWidth>
                </wp14:sizeRelH>
                <wp14:sizeRelV relativeFrom="page">
                  <wp14:pctHeight>0</wp14:pctHeight>
                </wp14:sizeRelV>
              </wp:anchor>
            </w:drawing>
          </mc:Choice>
          <mc:Fallback>
            <w:pict>
              <v:rect id="Ορθογώνιο 5" o:spid="_x0000_s1026" style="position:absolute;left:0;text-align:left;margin-left:327.8pt;margin-top:132.25pt;width:154.45pt;height:4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" fillcolor="white [3212]" strokecolor="black [3213]" strokeweight="2pt">
                <v:path arrowok="t"/>
                <v:textbox>
                  <w:txbxContent>
                    <w:p w:rsidR="00A94CEE" w:rsidRDefault="00A94CEE" w:rsidP="00FA002C">
                      <w:pPr>
                        <w:pStyle w:val="Web"/>
                        <w:spacing w:before="0" w:beforeAutospacing="0" w:after="0" w:afterAutospacing="0"/>
                      </w:pPr>
                      <w:r>
                        <w:rPr>
                          <w:rFonts w:asciiTheme="minorHAnsi" w:hAnsi="Calibri" w:cstheme="minorBidi"/>
                          <w:b/>
                          <w:bCs/>
                          <w:color w:val="000000"/>
                          <w:sz w:val="28"/>
                          <w:szCs w:val="28"/>
                        </w:rPr>
                        <w:t>Μ.Ο. ΑΥΞΗΣΗΣ ΚΥΚΛΟΥ ΕΡΓΑΣΙΩΝ :</w:t>
                      </w:r>
                      <w:r>
                        <w:rPr>
                          <w:rFonts w:asciiTheme="minorHAnsi" w:hAnsi="Calibri" w:cstheme="minorBidi"/>
                          <w:b/>
                          <w:bCs/>
                          <w:color w:val="000000"/>
                          <w:sz w:val="32"/>
                          <w:szCs w:val="32"/>
                        </w:rPr>
                        <w:t xml:space="preserve">  22,4%</w:t>
                      </w:r>
                    </w:p>
                  </w:txbxContent>
                </v:textbox>
              </v:rect>
            </w:pict>
          </mc:Fallback>
        </mc:AlternateContent>
      </w:r>
      <w:r w:rsidR="00FA002C">
        <w:rPr>
          <w:noProof/>
        </w:rPr>
        <w:drawing>
          <wp:inline distT="0" distB="0" distL="0" distR="0" wp14:anchorId="20E36D75" wp14:editId="4FEADF2B">
            <wp:extent cx="6419850" cy="2628900"/>
            <wp:effectExtent l="0" t="0" r="0" b="0"/>
            <wp:docPr id="6" name="Γράφημα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0420" w:rsidRDefault="00FA002C" w:rsidP="00700BFC">
      <w:pPr>
        <w:spacing w:after="0" w:line="360" w:lineRule="auto"/>
        <w:jc w:val="both"/>
        <w:rPr>
          <w:rFonts w:ascii="Calibri" w:eastAsia="Calibri" w:hAnsi="Calibri" w:cs="Times New Roman"/>
          <w:sz w:val="24"/>
          <w:szCs w:val="24"/>
        </w:rPr>
      </w:pPr>
      <w:r>
        <w:rPr>
          <w:noProof/>
        </w:rPr>
        <w:drawing>
          <wp:inline distT="0" distB="0" distL="0" distR="0" wp14:anchorId="00806145" wp14:editId="58205614">
            <wp:extent cx="6419850" cy="2398395"/>
            <wp:effectExtent l="0" t="0" r="0" b="0"/>
            <wp:docPr id="31" name="Γράφημα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7A04DD">
        <w:rPr>
          <w:noProof/>
        </w:rPr>
        <mc:AlternateContent>
          <mc:Choice Requires="wps">
            <w:drawing>
              <wp:anchor distT="0" distB="0" distL="114300" distR="114300" simplePos="0" relativeHeight="251659264" behindDoc="0" locked="0" layoutInCell="1" allowOverlap="1" wp14:anchorId="6B931814" wp14:editId="050FA244">
                <wp:simplePos x="0" y="0"/>
                <wp:positionH relativeFrom="column">
                  <wp:posOffset>3974465</wp:posOffset>
                </wp:positionH>
                <wp:positionV relativeFrom="paragraph">
                  <wp:posOffset>1564005</wp:posOffset>
                </wp:positionV>
                <wp:extent cx="1962150" cy="618490"/>
                <wp:effectExtent l="0" t="0" r="19050" b="1016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618490"/>
                        </a:xfrm>
                        <a:prstGeom prst="rect">
                          <a:avLst/>
                        </a:prstGeom>
                        <a:solidFill>
                          <a:sysClr val="window" lastClr="FFFFFF"/>
                        </a:solidFill>
                        <a:ln w="25400" cap="flat" cmpd="sng" algn="ctr">
                          <a:solidFill>
                            <a:sysClr val="windowText" lastClr="000000"/>
                          </a:solidFill>
                          <a:prstDash val="solid"/>
                        </a:ln>
                        <a:effectLst/>
                      </wps:spPr>
                      <wps:txbx>
                        <w:txbxContent>
                          <w:p w:rsidR="00A94CEE" w:rsidRDefault="00A94CEE" w:rsidP="001A4FBC">
                            <w:pPr>
                              <w:pStyle w:val="Web"/>
                              <w:spacing w:before="0" w:beforeAutospacing="0" w:after="0" w:afterAutospacing="0"/>
                              <w:jc w:val="center"/>
                            </w:pPr>
                            <w:r>
                              <w:rPr>
                                <w:rFonts w:ascii="Calibri" w:eastAsia="+mn-ea" w:hAnsi="Calibri" w:cs="+mn-cs"/>
                                <w:b/>
                                <w:bCs/>
                                <w:color w:val="000000"/>
                                <w:sz w:val="28"/>
                                <w:szCs w:val="28"/>
                              </w:rPr>
                              <w:t>Μ.Ο. ΜΕΙΩΣΗΣ ΚΥΚΛΟΥ ΕΡΓΑΣΙΩΝ :</w:t>
                            </w:r>
                            <w:r>
                              <w:rPr>
                                <w:rFonts w:ascii="Calibri" w:eastAsia="+mn-ea" w:hAnsi="Calibri" w:cs="+mn-cs"/>
                                <w:b/>
                                <w:bCs/>
                                <w:color w:val="000000"/>
                                <w:sz w:val="32"/>
                                <w:szCs w:val="32"/>
                              </w:rPr>
                              <w:t xml:space="preserve">  33,9%</w:t>
                            </w:r>
                          </w:p>
                        </w:txbxContent>
                      </wps:txbx>
                      <wps:bodyPr vertOverflow="clip"/>
                    </wps:wsp>
                  </a:graphicData>
                </a:graphic>
                <wp14:sizeRelH relativeFrom="page">
                  <wp14:pctWidth>0</wp14:pctWidth>
                </wp14:sizeRelH>
                <wp14:sizeRelV relativeFrom="page">
                  <wp14:pctHeight>0</wp14:pctHeight>
                </wp14:sizeRelV>
              </wp:anchor>
            </w:drawing>
          </mc:Choice>
          <mc:Fallback>
            <w:pict>
              <v:rect id="Ορθογώνιο 4" o:spid="_x0000_s1027" style="position:absolute;left:0;text-align:left;margin-left:312.95pt;margin-top:123.15pt;width:154.5pt;height:4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" fillcolor="window" strokecolor="windowText" strokeweight="2pt">
                <v:path arrowok="t"/>
                <v:textbox>
                  <w:txbxContent>
                    <w:p w:rsidR="00A94CEE" w:rsidRDefault="00A94CEE" w:rsidP="001A4FBC">
                      <w:pPr>
                        <w:pStyle w:val="Web"/>
                        <w:spacing w:before="0" w:beforeAutospacing="0" w:after="0" w:afterAutospacing="0"/>
                        <w:jc w:val="center"/>
                      </w:pPr>
                      <w:r>
                        <w:rPr>
                          <w:rFonts w:ascii="Calibri" w:eastAsia="+mn-ea" w:hAnsi="Calibri" w:cs="+mn-cs"/>
                          <w:b/>
                          <w:bCs/>
                          <w:color w:val="000000"/>
                          <w:sz w:val="28"/>
                          <w:szCs w:val="28"/>
                        </w:rPr>
                        <w:t>Μ.Ο. ΜΕΙΩΣΗΣ ΚΥΚΛΟΥ ΕΡΓΑΣΙΩΝ :</w:t>
                      </w:r>
                      <w:r>
                        <w:rPr>
                          <w:rFonts w:ascii="Calibri" w:eastAsia="+mn-ea" w:hAnsi="Calibri" w:cs="+mn-cs"/>
                          <w:b/>
                          <w:bCs/>
                          <w:color w:val="000000"/>
                          <w:sz w:val="32"/>
                          <w:szCs w:val="32"/>
                        </w:rPr>
                        <w:t xml:space="preserve">  33,9%</w:t>
                      </w:r>
                    </w:p>
                  </w:txbxContent>
                </v:textbox>
              </v:rect>
            </w:pict>
          </mc:Fallback>
        </mc:AlternateContent>
      </w:r>
    </w:p>
    <w:p w:rsidR="00C60420" w:rsidRPr="006F0645" w:rsidRDefault="00C60420" w:rsidP="00700BFC">
      <w:pPr>
        <w:spacing w:after="0" w:line="360" w:lineRule="auto"/>
        <w:jc w:val="both"/>
        <w:rPr>
          <w:rFonts w:ascii="Calibri" w:eastAsia="Calibri" w:hAnsi="Calibri" w:cs="Times New Roman"/>
          <w:sz w:val="24"/>
          <w:szCs w:val="24"/>
        </w:rPr>
      </w:pPr>
    </w:p>
    <w:p w:rsidR="00B03942" w:rsidRDefault="00B03942" w:rsidP="00700BFC">
      <w:pPr>
        <w:pStyle w:val="a3"/>
        <w:numPr>
          <w:ilvl w:val="0"/>
          <w:numId w:val="4"/>
        </w:numPr>
        <w:spacing w:after="0" w:line="360" w:lineRule="auto"/>
        <w:ind w:left="357"/>
        <w:jc w:val="both"/>
        <w:rPr>
          <w:rFonts w:ascii="Calibri" w:eastAsia="Calibri" w:hAnsi="Calibri" w:cs="Times New Roman"/>
          <w:b/>
          <w:sz w:val="24"/>
          <w:szCs w:val="24"/>
          <w:u w:val="single"/>
        </w:rPr>
      </w:pPr>
      <w:r w:rsidRPr="006F0645">
        <w:rPr>
          <w:rFonts w:ascii="Calibri" w:eastAsia="Calibri" w:hAnsi="Calibri" w:cs="Times New Roman"/>
          <w:b/>
          <w:sz w:val="24"/>
          <w:szCs w:val="24"/>
          <w:u w:val="single"/>
        </w:rPr>
        <w:t xml:space="preserve">Ζήτηση </w:t>
      </w:r>
      <w:r w:rsidR="001468D1">
        <w:rPr>
          <w:rFonts w:ascii="Calibri" w:eastAsia="Calibri" w:hAnsi="Calibri" w:cs="Times New Roman"/>
          <w:b/>
          <w:sz w:val="24"/>
          <w:szCs w:val="24"/>
          <w:u w:val="single"/>
        </w:rPr>
        <w:t>–</w:t>
      </w:r>
      <w:r w:rsidRPr="006F0645">
        <w:rPr>
          <w:rFonts w:ascii="Calibri" w:eastAsia="Calibri" w:hAnsi="Calibri" w:cs="Times New Roman"/>
          <w:b/>
          <w:sz w:val="24"/>
          <w:szCs w:val="24"/>
          <w:u w:val="single"/>
        </w:rPr>
        <w:t xml:space="preserve"> Παραγγελίες</w:t>
      </w:r>
      <w:r w:rsidR="001468D1">
        <w:rPr>
          <w:rFonts w:ascii="Calibri" w:eastAsia="Calibri" w:hAnsi="Calibri" w:cs="Times New Roman"/>
          <w:b/>
          <w:sz w:val="24"/>
          <w:szCs w:val="24"/>
          <w:u w:val="single"/>
        </w:rPr>
        <w:t xml:space="preserve"> προς προμηθευτές</w:t>
      </w:r>
    </w:p>
    <w:p w:rsidR="00CD7BA5" w:rsidRDefault="001468D1"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 xml:space="preserve">Στα γραφήματα που ακολουθούν απεικονίζεται η πορεία της ζήτησης των προϊόντων και υπηρεσιών των επιχειρήσεων καθώς και οι δικές τους παραγγελίες προς τους προμηθευτές τους. </w:t>
      </w:r>
      <w:r w:rsidR="000E2896">
        <w:rPr>
          <w:rFonts w:ascii="Calibri" w:eastAsia="Calibri" w:hAnsi="Calibri" w:cs="Times New Roman"/>
          <w:sz w:val="24"/>
          <w:szCs w:val="24"/>
        </w:rPr>
        <w:t>Θα μπορούσαμε να πούμε ότι στα μεγέθη αυτά αντικατοπτρίζεται η γενικότερη πτώση του τζίρου των επιχειρήσεων που είδαμε στα προηγούμενα γραφήματα. Συγκεκριμένα</w:t>
      </w:r>
      <w:r w:rsidR="00A02674">
        <w:rPr>
          <w:rFonts w:ascii="Calibri" w:eastAsia="Calibri" w:hAnsi="Calibri" w:cs="Times New Roman"/>
          <w:sz w:val="24"/>
          <w:szCs w:val="24"/>
        </w:rPr>
        <w:t>, το</w:t>
      </w:r>
      <w:r w:rsidR="000E2896">
        <w:rPr>
          <w:rFonts w:ascii="Calibri" w:eastAsia="Calibri" w:hAnsi="Calibri" w:cs="Times New Roman"/>
          <w:sz w:val="24"/>
          <w:szCs w:val="24"/>
        </w:rPr>
        <w:t xml:space="preserve"> 4</w:t>
      </w:r>
      <w:r w:rsidR="00E66AA5">
        <w:rPr>
          <w:rFonts w:ascii="Calibri" w:eastAsia="Calibri" w:hAnsi="Calibri" w:cs="Times New Roman"/>
          <w:sz w:val="24"/>
          <w:szCs w:val="24"/>
        </w:rPr>
        <w:t>4,8</w:t>
      </w:r>
      <w:r w:rsidR="000E2896">
        <w:rPr>
          <w:rFonts w:ascii="Calibri" w:eastAsia="Calibri" w:hAnsi="Calibri" w:cs="Times New Roman"/>
          <w:sz w:val="24"/>
          <w:szCs w:val="24"/>
        </w:rPr>
        <w:t>% περίπου των επιχει</w:t>
      </w:r>
      <w:r w:rsidR="00A02674">
        <w:rPr>
          <w:rFonts w:ascii="Calibri" w:eastAsia="Calibri" w:hAnsi="Calibri" w:cs="Times New Roman"/>
          <w:sz w:val="24"/>
          <w:szCs w:val="24"/>
        </w:rPr>
        <w:t>ρήσεων δήλωσε ότι αντιμετώπισε</w:t>
      </w:r>
      <w:r w:rsidR="000E2896">
        <w:rPr>
          <w:rFonts w:ascii="Calibri" w:eastAsia="Calibri" w:hAnsi="Calibri" w:cs="Times New Roman"/>
          <w:sz w:val="24"/>
          <w:szCs w:val="24"/>
        </w:rPr>
        <w:t xml:space="preserve"> πτώση της ζήτησής </w:t>
      </w:r>
      <w:r w:rsidR="00EA4534">
        <w:rPr>
          <w:rFonts w:ascii="Calibri" w:eastAsia="Calibri" w:hAnsi="Calibri" w:cs="Times New Roman"/>
          <w:sz w:val="24"/>
          <w:szCs w:val="24"/>
        </w:rPr>
        <w:t>τους,</w:t>
      </w:r>
      <w:r w:rsidR="000E2896">
        <w:rPr>
          <w:rFonts w:ascii="Calibri" w:eastAsia="Calibri" w:hAnsi="Calibri" w:cs="Times New Roman"/>
          <w:sz w:val="24"/>
          <w:szCs w:val="24"/>
        </w:rPr>
        <w:t xml:space="preserve"> ενώ </w:t>
      </w:r>
      <w:r w:rsidR="00EA4534">
        <w:rPr>
          <w:rFonts w:ascii="Calibri" w:eastAsia="Calibri" w:hAnsi="Calibri" w:cs="Times New Roman"/>
          <w:sz w:val="24"/>
          <w:szCs w:val="24"/>
        </w:rPr>
        <w:t>το</w:t>
      </w:r>
      <w:r w:rsidR="000E2896">
        <w:rPr>
          <w:rFonts w:ascii="Calibri" w:eastAsia="Calibri" w:hAnsi="Calibri" w:cs="Times New Roman"/>
          <w:sz w:val="24"/>
          <w:szCs w:val="24"/>
        </w:rPr>
        <w:t xml:space="preserve"> 28</w:t>
      </w:r>
      <w:r w:rsidR="00E66AA5">
        <w:rPr>
          <w:rFonts w:ascii="Calibri" w:eastAsia="Calibri" w:hAnsi="Calibri" w:cs="Times New Roman"/>
          <w:sz w:val="24"/>
          <w:szCs w:val="24"/>
        </w:rPr>
        <w:t>,2</w:t>
      </w:r>
      <w:r w:rsidR="00A02674">
        <w:rPr>
          <w:rFonts w:ascii="Calibri" w:eastAsia="Calibri" w:hAnsi="Calibri" w:cs="Times New Roman"/>
          <w:sz w:val="24"/>
          <w:szCs w:val="24"/>
        </w:rPr>
        <w:t>% δήλωσε ότι είχε</w:t>
      </w:r>
      <w:r w:rsidR="000E2896">
        <w:rPr>
          <w:rFonts w:ascii="Calibri" w:eastAsia="Calibri" w:hAnsi="Calibri" w:cs="Times New Roman"/>
          <w:sz w:val="24"/>
          <w:szCs w:val="24"/>
        </w:rPr>
        <w:t xml:space="preserve"> αύξηση.  </w:t>
      </w:r>
    </w:p>
    <w:p w:rsidR="001468D1" w:rsidRPr="001468D1" w:rsidRDefault="000E2896"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 xml:space="preserve">Κατ’ αναλογία, </w:t>
      </w:r>
      <w:r w:rsidR="00CD7BA5">
        <w:rPr>
          <w:rFonts w:ascii="Calibri" w:eastAsia="Calibri" w:hAnsi="Calibri" w:cs="Times New Roman"/>
          <w:sz w:val="24"/>
          <w:szCs w:val="24"/>
        </w:rPr>
        <w:t xml:space="preserve">λόγω της μειωμένης ζήτησης οι επιχειρήσεις που δήλωσαν μείωση του παραγγελιών προς τους προμηθευτές τους ήταν περίπου 47% ενώ αυτές που δήλωσαν αύξηση 25%. </w:t>
      </w:r>
    </w:p>
    <w:p w:rsidR="00875508" w:rsidRDefault="00FA002C" w:rsidP="00700BFC">
      <w:pPr>
        <w:spacing w:after="160" w:line="360" w:lineRule="auto"/>
        <w:jc w:val="both"/>
        <w:rPr>
          <w:noProof/>
        </w:rPr>
      </w:pPr>
      <w:r>
        <w:rPr>
          <w:noProof/>
        </w:rPr>
        <w:lastRenderedPageBreak/>
        <w:drawing>
          <wp:inline distT="0" distB="0" distL="0" distR="0" wp14:anchorId="43D0CCDD" wp14:editId="3C502309">
            <wp:extent cx="6324600" cy="2743200"/>
            <wp:effectExtent l="0" t="0" r="19050" b="19050"/>
            <wp:docPr id="32" name="Γράφημα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7E16" w:rsidRPr="00547A9B" w:rsidRDefault="00EA7714" w:rsidP="00700BFC">
      <w:pPr>
        <w:spacing w:after="0" w:line="360" w:lineRule="auto"/>
        <w:jc w:val="both"/>
        <w:rPr>
          <w:rFonts w:ascii="Calibri" w:eastAsia="Times New Roman" w:hAnsi="Calibri" w:cs="Calibri"/>
          <w:b/>
          <w:bCs/>
          <w:color w:val="000000"/>
          <w:sz w:val="24"/>
          <w:szCs w:val="24"/>
        </w:rPr>
      </w:pPr>
      <w:r w:rsidRPr="00547A9B">
        <w:rPr>
          <w:rFonts w:ascii="Calibri" w:eastAsia="Calibri" w:hAnsi="Calibri" w:cs="Times New Roman"/>
          <w:sz w:val="24"/>
          <w:szCs w:val="24"/>
        </w:rPr>
        <w:t>Σε κλαδικό επίπεδο</w:t>
      </w:r>
      <w:r w:rsidR="00A02674">
        <w:rPr>
          <w:rFonts w:ascii="Calibri" w:eastAsia="Calibri" w:hAnsi="Calibri" w:cs="Times New Roman"/>
          <w:sz w:val="24"/>
          <w:szCs w:val="24"/>
        </w:rPr>
        <w:t>,</w:t>
      </w:r>
      <w:r w:rsidRPr="00547A9B">
        <w:rPr>
          <w:rFonts w:ascii="Calibri" w:eastAsia="Calibri" w:hAnsi="Calibri" w:cs="Times New Roman"/>
          <w:sz w:val="24"/>
          <w:szCs w:val="24"/>
        </w:rPr>
        <w:t xml:space="preserve"> τ</w:t>
      </w:r>
      <w:r w:rsidR="00E66AA5">
        <w:rPr>
          <w:rFonts w:ascii="Calibri" w:eastAsia="Calibri" w:hAnsi="Calibri" w:cs="Times New Roman"/>
          <w:sz w:val="24"/>
          <w:szCs w:val="24"/>
        </w:rPr>
        <w:t>ο</w:t>
      </w:r>
      <w:r w:rsidRPr="00547A9B">
        <w:rPr>
          <w:rFonts w:ascii="Calibri" w:eastAsia="Calibri" w:hAnsi="Calibri" w:cs="Times New Roman"/>
          <w:sz w:val="24"/>
          <w:szCs w:val="24"/>
        </w:rPr>
        <w:t xml:space="preserve"> μεγαλύτερο ποσοστό επιχειρήσεων (3</w:t>
      </w:r>
      <w:r w:rsidR="00E66AA5">
        <w:rPr>
          <w:rFonts w:ascii="Calibri" w:eastAsia="Calibri" w:hAnsi="Calibri" w:cs="Times New Roman"/>
          <w:sz w:val="24"/>
          <w:szCs w:val="24"/>
        </w:rPr>
        <w:t>3,7</w:t>
      </w:r>
      <w:r w:rsidR="00A02674">
        <w:rPr>
          <w:rFonts w:ascii="Calibri" w:eastAsia="Calibri" w:hAnsi="Calibri" w:cs="Times New Roman"/>
          <w:sz w:val="24"/>
          <w:szCs w:val="24"/>
        </w:rPr>
        <w:t>%) που δήλωσε ότι είχε αύξηση της ζήτησης άνηκε</w:t>
      </w:r>
      <w:r w:rsidRPr="00547A9B">
        <w:rPr>
          <w:rFonts w:ascii="Calibri" w:eastAsia="Calibri" w:hAnsi="Calibri" w:cs="Times New Roman"/>
          <w:sz w:val="24"/>
          <w:szCs w:val="24"/>
        </w:rPr>
        <w:t xml:space="preserve"> στον κλάδο των υπηρεσιών, ακολουθεί η μεταποίηση με 32</w:t>
      </w:r>
      <w:r w:rsidR="00E66AA5">
        <w:rPr>
          <w:rFonts w:ascii="Calibri" w:eastAsia="Calibri" w:hAnsi="Calibri" w:cs="Times New Roman"/>
          <w:sz w:val="24"/>
          <w:szCs w:val="24"/>
        </w:rPr>
        <w:t>,1</w:t>
      </w:r>
      <w:r w:rsidRPr="00547A9B">
        <w:rPr>
          <w:rFonts w:ascii="Calibri" w:eastAsia="Calibri" w:hAnsi="Calibri" w:cs="Times New Roman"/>
          <w:sz w:val="24"/>
          <w:szCs w:val="24"/>
        </w:rPr>
        <w:t>% ενώ το εμπόριο βρίσκεται σημαντικά χαμηλότερα με 20</w:t>
      </w:r>
      <w:r w:rsidR="00E66AA5">
        <w:rPr>
          <w:rFonts w:ascii="Calibri" w:eastAsia="Calibri" w:hAnsi="Calibri" w:cs="Times New Roman"/>
          <w:sz w:val="24"/>
          <w:szCs w:val="24"/>
        </w:rPr>
        <w:t>,1</w:t>
      </w:r>
      <w:r w:rsidRPr="00547A9B">
        <w:rPr>
          <w:rFonts w:ascii="Calibri" w:eastAsia="Calibri" w:hAnsi="Calibri" w:cs="Times New Roman"/>
          <w:sz w:val="24"/>
          <w:szCs w:val="24"/>
        </w:rPr>
        <w:t xml:space="preserve">%. Κατ’ αντιστοιχία με την εικόνα που είδαμε για </w:t>
      </w:r>
      <w:r w:rsidR="00A02674">
        <w:rPr>
          <w:rFonts w:ascii="Calibri" w:eastAsia="Calibri" w:hAnsi="Calibri" w:cs="Times New Roman"/>
          <w:sz w:val="24"/>
          <w:szCs w:val="24"/>
        </w:rPr>
        <w:t>τον κύκλο εργασιών</w:t>
      </w:r>
      <w:r w:rsidRPr="00547A9B">
        <w:rPr>
          <w:rFonts w:ascii="Calibri" w:eastAsia="Calibri" w:hAnsi="Calibri" w:cs="Times New Roman"/>
          <w:sz w:val="24"/>
          <w:szCs w:val="24"/>
        </w:rPr>
        <w:t>, οι μεγαλύτερες επιχειρήσεις σε όρους ετ</w:t>
      </w:r>
      <w:r w:rsidR="00540E4B">
        <w:rPr>
          <w:rFonts w:ascii="Calibri" w:eastAsia="Calibri" w:hAnsi="Calibri" w:cs="Times New Roman"/>
          <w:sz w:val="24"/>
          <w:szCs w:val="24"/>
        </w:rPr>
        <w:t>ήσιου κύκλου εργασιών και αριθμού</w:t>
      </w:r>
      <w:r w:rsidRPr="00547A9B">
        <w:rPr>
          <w:rFonts w:ascii="Calibri" w:eastAsia="Calibri" w:hAnsi="Calibri" w:cs="Times New Roman"/>
          <w:sz w:val="24"/>
          <w:szCs w:val="24"/>
        </w:rPr>
        <w:t xml:space="preserve"> </w:t>
      </w:r>
      <w:r w:rsidR="00540E4B">
        <w:rPr>
          <w:rFonts w:ascii="Calibri" w:eastAsia="Calibri" w:hAnsi="Calibri" w:cs="Times New Roman"/>
          <w:sz w:val="24"/>
          <w:szCs w:val="24"/>
        </w:rPr>
        <w:t>εργαζομένων</w:t>
      </w:r>
      <w:r w:rsidRPr="00547A9B">
        <w:rPr>
          <w:rFonts w:ascii="Calibri" w:eastAsia="Calibri" w:hAnsi="Calibri" w:cs="Times New Roman"/>
          <w:sz w:val="24"/>
          <w:szCs w:val="24"/>
        </w:rPr>
        <w:t xml:space="preserve"> είχαν καλύτερες επιδόσεις ως προς την ζήτηση όπως και αυτές που είναι εγκατε</w:t>
      </w:r>
      <w:r w:rsidR="00540E4B">
        <w:rPr>
          <w:rFonts w:ascii="Calibri" w:eastAsia="Calibri" w:hAnsi="Calibri" w:cs="Times New Roman"/>
          <w:sz w:val="24"/>
          <w:szCs w:val="24"/>
        </w:rPr>
        <w:t>στημένες σε νησιωτικές περιοχές. Ο</w:t>
      </w:r>
      <w:r w:rsidRPr="00547A9B">
        <w:rPr>
          <w:rFonts w:ascii="Calibri" w:eastAsia="Calibri" w:hAnsi="Calibri" w:cs="Times New Roman"/>
          <w:sz w:val="24"/>
          <w:szCs w:val="24"/>
        </w:rPr>
        <w:t xml:space="preserve"> </w:t>
      </w:r>
      <w:proofErr w:type="spellStart"/>
      <w:r w:rsidRPr="00547A9B">
        <w:rPr>
          <w:rFonts w:ascii="Calibri" w:eastAsia="Calibri" w:hAnsi="Calibri" w:cs="Times New Roman"/>
          <w:sz w:val="24"/>
          <w:szCs w:val="24"/>
        </w:rPr>
        <w:t>υποκλάδος</w:t>
      </w:r>
      <w:proofErr w:type="spellEnd"/>
      <w:r w:rsidRPr="00547A9B">
        <w:rPr>
          <w:rFonts w:ascii="Calibri" w:eastAsia="Calibri" w:hAnsi="Calibri" w:cs="Times New Roman"/>
          <w:sz w:val="24"/>
          <w:szCs w:val="24"/>
        </w:rPr>
        <w:t xml:space="preserve"> της εστίασης είχε σαφώς χαμηλότερες επιδόσεις </w:t>
      </w:r>
      <w:r w:rsidR="00C277CE" w:rsidRPr="00547A9B">
        <w:rPr>
          <w:rFonts w:ascii="Calibri" w:eastAsia="Calibri" w:hAnsi="Calibri" w:cs="Times New Roman"/>
          <w:sz w:val="24"/>
          <w:szCs w:val="24"/>
        </w:rPr>
        <w:t>από τον ευρύτερο τομέα των υπηρεσιών</w:t>
      </w:r>
      <w:r w:rsidR="007F7E16" w:rsidRPr="00547A9B">
        <w:rPr>
          <w:rFonts w:ascii="Calibri" w:eastAsia="Calibri" w:hAnsi="Calibri" w:cs="Times New Roman"/>
          <w:sz w:val="24"/>
          <w:szCs w:val="24"/>
        </w:rPr>
        <w:t>, ενώ οι μεγαλύτερες επιχειρήσεις φαίνεται να έχουν καλύτερες επιδόσεις ως προς την ζήτηση.</w:t>
      </w:r>
      <w:r w:rsidR="00737D23" w:rsidRPr="00547A9B">
        <w:rPr>
          <w:rFonts w:ascii="Calibri" w:eastAsia="Calibri" w:hAnsi="Calibri" w:cs="Times New Roman"/>
          <w:sz w:val="24"/>
          <w:szCs w:val="24"/>
        </w:rPr>
        <w:t xml:space="preserve"> Σε κλαδικό και γεωγραφικό επίπεδο</w:t>
      </w:r>
      <w:r w:rsidR="00A02674">
        <w:rPr>
          <w:rFonts w:ascii="Calibri" w:eastAsia="Calibri" w:hAnsi="Calibri" w:cs="Times New Roman"/>
          <w:sz w:val="24"/>
          <w:szCs w:val="24"/>
        </w:rPr>
        <w:t>,</w:t>
      </w:r>
      <w:r w:rsidR="00737D23" w:rsidRPr="00547A9B">
        <w:rPr>
          <w:rFonts w:ascii="Calibri" w:eastAsia="Calibri" w:hAnsi="Calibri" w:cs="Times New Roman"/>
          <w:sz w:val="24"/>
          <w:szCs w:val="24"/>
        </w:rPr>
        <w:t xml:space="preserve"> οι παραγγελίες ακολουθούν</w:t>
      </w:r>
      <w:r w:rsidR="00EA4534">
        <w:rPr>
          <w:rFonts w:ascii="Calibri" w:eastAsia="Calibri" w:hAnsi="Calibri" w:cs="Times New Roman"/>
          <w:sz w:val="24"/>
          <w:szCs w:val="24"/>
        </w:rPr>
        <w:t xml:space="preserve"> σε γενικές γραμμές</w:t>
      </w:r>
      <w:r w:rsidR="00737D23" w:rsidRPr="00547A9B">
        <w:rPr>
          <w:rFonts w:ascii="Calibri" w:eastAsia="Calibri" w:hAnsi="Calibri" w:cs="Times New Roman"/>
          <w:sz w:val="24"/>
          <w:szCs w:val="24"/>
        </w:rPr>
        <w:t xml:space="preserve"> την πορεία της ζήτησης</w:t>
      </w:r>
      <w:r w:rsidR="00EA4534">
        <w:rPr>
          <w:rFonts w:ascii="Calibri" w:eastAsia="Calibri" w:hAnsi="Calibri" w:cs="Times New Roman"/>
          <w:sz w:val="24"/>
          <w:szCs w:val="24"/>
        </w:rPr>
        <w:t>.</w:t>
      </w:r>
    </w:p>
    <w:tbl>
      <w:tblPr>
        <w:tblW w:w="5000" w:type="pct"/>
        <w:tblLook w:val="04A0" w:firstRow="1" w:lastRow="0" w:firstColumn="1" w:lastColumn="0" w:noHBand="0" w:noVBand="1"/>
      </w:tblPr>
      <w:tblGrid>
        <w:gridCol w:w="1122"/>
        <w:gridCol w:w="1229"/>
        <w:gridCol w:w="1190"/>
        <w:gridCol w:w="1021"/>
        <w:gridCol w:w="963"/>
        <w:gridCol w:w="983"/>
        <w:gridCol w:w="989"/>
        <w:gridCol w:w="1015"/>
        <w:gridCol w:w="1013"/>
        <w:gridCol w:w="1180"/>
      </w:tblGrid>
      <w:tr w:rsidR="00192FC3" w:rsidRPr="00192FC3" w:rsidTr="00192FC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rsidR="00192FC3" w:rsidRPr="00192FC3"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2</w:t>
            </w:r>
          </w:p>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24"/>
                <w:szCs w:val="24"/>
              </w:rPr>
              <w:t>ΖΗΤΗΣΗ ΠΡΩΤΟΥ ΕΞΑΜΗΝΟΥ 2022 ΑΝΑ ΚΑΤΗΓΟΡΙΑ</w:t>
            </w:r>
          </w:p>
        </w:tc>
      </w:tr>
      <w:tr w:rsidR="00192FC3" w:rsidRPr="00192FC3" w:rsidTr="00192FC3">
        <w:trPr>
          <w:trHeight w:val="289"/>
        </w:trPr>
        <w:tc>
          <w:tcPr>
            <w:tcW w:w="524"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w:t>
            </w:r>
          </w:p>
        </w:tc>
        <w:tc>
          <w:tcPr>
            <w:tcW w:w="1607" w:type="pct"/>
            <w:gridSpan w:val="3"/>
            <w:tcBorders>
              <w:top w:val="single" w:sz="4" w:space="0" w:color="auto"/>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ΚΛΑΔΟΣ</w:t>
            </w:r>
          </w:p>
        </w:tc>
        <w:tc>
          <w:tcPr>
            <w:tcW w:w="2869" w:type="pct"/>
            <w:gridSpan w:val="6"/>
            <w:tcBorders>
              <w:top w:val="single" w:sz="4" w:space="0" w:color="auto"/>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xml:space="preserve">ΕΤΗΣΙΟΣ ΚΥΚΛΟΣ ΕΡΓΑΣΙΩΝ </w:t>
            </w:r>
          </w:p>
        </w:tc>
      </w:tr>
      <w:tr w:rsidR="00192FC3" w:rsidRPr="00192FC3" w:rsidTr="00192FC3">
        <w:trPr>
          <w:trHeight w:val="600"/>
        </w:trPr>
        <w:tc>
          <w:tcPr>
            <w:tcW w:w="524" w:type="pct"/>
            <w:vMerge/>
            <w:tcBorders>
              <w:top w:val="nil"/>
              <w:left w:val="single" w:sz="4" w:space="0" w:color="auto"/>
              <w:bottom w:val="single" w:sz="4" w:space="0" w:color="auto"/>
              <w:right w:val="single" w:sz="4" w:space="0" w:color="auto"/>
            </w:tcBorders>
            <w:vAlign w:val="center"/>
            <w:hideMark/>
          </w:tcPr>
          <w:p w:rsidR="00192FC3" w:rsidRPr="00192FC3" w:rsidRDefault="00192FC3" w:rsidP="00700BFC">
            <w:pPr>
              <w:spacing w:after="0" w:line="360" w:lineRule="auto"/>
              <w:rPr>
                <w:rFonts w:ascii="Calibri" w:eastAsia="Times New Roman" w:hAnsi="Calibri" w:cs="Calibri"/>
                <w:b/>
                <w:bCs/>
                <w:color w:val="000000"/>
                <w:sz w:val="16"/>
                <w:szCs w:val="16"/>
              </w:rPr>
            </w:pPr>
          </w:p>
        </w:tc>
        <w:tc>
          <w:tcPr>
            <w:tcW w:w="574"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Εμπόριο</w:t>
            </w:r>
          </w:p>
        </w:tc>
        <w:tc>
          <w:tcPr>
            <w:tcW w:w="556"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Μεταποίηση</w:t>
            </w:r>
          </w:p>
        </w:tc>
        <w:tc>
          <w:tcPr>
            <w:tcW w:w="477"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Υπηρεσίες</w:t>
            </w:r>
          </w:p>
        </w:tc>
        <w:tc>
          <w:tcPr>
            <w:tcW w:w="450" w:type="pct"/>
            <w:tcBorders>
              <w:top w:val="nil"/>
              <w:left w:val="nil"/>
              <w:bottom w:val="single" w:sz="4" w:space="0" w:color="auto"/>
              <w:right w:val="single" w:sz="4" w:space="0" w:color="auto"/>
            </w:tcBorders>
            <w:shd w:val="clear" w:color="D9E1F2" w:fill="D9E1F2"/>
            <w:vAlign w:val="center"/>
            <w:hideMark/>
          </w:tcPr>
          <w:p w:rsidR="00E70A64"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p>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xml:space="preserve"> 50.000 €</w:t>
            </w:r>
          </w:p>
        </w:tc>
        <w:tc>
          <w:tcPr>
            <w:tcW w:w="459"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50.000 - 100.000 €</w:t>
            </w:r>
          </w:p>
        </w:tc>
        <w:tc>
          <w:tcPr>
            <w:tcW w:w="462"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100.001 - 300.000 €</w:t>
            </w:r>
          </w:p>
        </w:tc>
        <w:tc>
          <w:tcPr>
            <w:tcW w:w="474"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300.001 - 500.000 €</w:t>
            </w:r>
          </w:p>
        </w:tc>
        <w:tc>
          <w:tcPr>
            <w:tcW w:w="473"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500.001 - 1.000.000 €</w:t>
            </w:r>
          </w:p>
        </w:tc>
        <w:tc>
          <w:tcPr>
            <w:tcW w:w="551"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Πάνω από 1.000.000 €</w:t>
            </w:r>
          </w:p>
        </w:tc>
      </w:tr>
      <w:tr w:rsidR="00192FC3" w:rsidRPr="00192FC3"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υξήθηκε</w:t>
            </w:r>
          </w:p>
        </w:tc>
        <w:tc>
          <w:tcPr>
            <w:tcW w:w="5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20,1%</w:t>
            </w:r>
          </w:p>
        </w:tc>
        <w:tc>
          <w:tcPr>
            <w:tcW w:w="556"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32,1%</w:t>
            </w:r>
          </w:p>
        </w:tc>
        <w:tc>
          <w:tcPr>
            <w:tcW w:w="477"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33,7%</w:t>
            </w:r>
          </w:p>
        </w:tc>
        <w:tc>
          <w:tcPr>
            <w:tcW w:w="450"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24,9%</w:t>
            </w:r>
          </w:p>
        </w:tc>
        <w:tc>
          <w:tcPr>
            <w:tcW w:w="459"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31,3%</w:t>
            </w:r>
          </w:p>
        </w:tc>
        <w:tc>
          <w:tcPr>
            <w:tcW w:w="462"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29,0%</w:t>
            </w:r>
          </w:p>
        </w:tc>
        <w:tc>
          <w:tcPr>
            <w:tcW w:w="4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473"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37,1%</w:t>
            </w:r>
          </w:p>
        </w:tc>
      </w:tr>
      <w:tr w:rsidR="00192FC3" w:rsidRPr="00192FC3"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μετάβλητη</w:t>
            </w:r>
          </w:p>
        </w:tc>
        <w:tc>
          <w:tcPr>
            <w:tcW w:w="5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26,8%</w:t>
            </w:r>
          </w:p>
        </w:tc>
        <w:tc>
          <w:tcPr>
            <w:tcW w:w="556"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25,9%</w:t>
            </w:r>
          </w:p>
        </w:tc>
        <w:tc>
          <w:tcPr>
            <w:tcW w:w="477"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26,2%</w:t>
            </w:r>
          </w:p>
        </w:tc>
        <w:tc>
          <w:tcPr>
            <w:tcW w:w="450"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23,0%</w:t>
            </w:r>
          </w:p>
        </w:tc>
        <w:tc>
          <w:tcPr>
            <w:tcW w:w="459"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25,4%</w:t>
            </w:r>
          </w:p>
        </w:tc>
        <w:tc>
          <w:tcPr>
            <w:tcW w:w="462"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32,6%</w:t>
            </w:r>
          </w:p>
        </w:tc>
        <w:tc>
          <w:tcPr>
            <w:tcW w:w="4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473"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17,1%</w:t>
            </w:r>
          </w:p>
        </w:tc>
      </w:tr>
      <w:tr w:rsidR="00192FC3" w:rsidRPr="00192FC3"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Μ</w:t>
            </w:r>
            <w:r w:rsidR="00192FC3" w:rsidRPr="00192FC3">
              <w:rPr>
                <w:rFonts w:ascii="Calibri" w:eastAsia="Times New Roman" w:hAnsi="Calibri" w:cs="Calibri"/>
                <w:color w:val="000000"/>
                <w:sz w:val="16"/>
                <w:szCs w:val="16"/>
              </w:rPr>
              <w:t>ειώθηκε</w:t>
            </w:r>
          </w:p>
        </w:tc>
        <w:tc>
          <w:tcPr>
            <w:tcW w:w="5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52,5%</w:t>
            </w:r>
          </w:p>
        </w:tc>
        <w:tc>
          <w:tcPr>
            <w:tcW w:w="556"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42,0%</w:t>
            </w:r>
          </w:p>
        </w:tc>
        <w:tc>
          <w:tcPr>
            <w:tcW w:w="477"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39,2%</w:t>
            </w:r>
          </w:p>
        </w:tc>
        <w:tc>
          <w:tcPr>
            <w:tcW w:w="450"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51,8%</w:t>
            </w:r>
          </w:p>
        </w:tc>
        <w:tc>
          <w:tcPr>
            <w:tcW w:w="459"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43,3%</w:t>
            </w:r>
          </w:p>
        </w:tc>
        <w:tc>
          <w:tcPr>
            <w:tcW w:w="462"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37,7%</w:t>
            </w:r>
          </w:p>
        </w:tc>
        <w:tc>
          <w:tcPr>
            <w:tcW w:w="4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473"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45,7%</w:t>
            </w:r>
          </w:p>
        </w:tc>
      </w:tr>
      <w:tr w:rsidR="00192FC3" w:rsidRPr="00192FC3" w:rsidTr="00192FC3">
        <w:trPr>
          <w:trHeight w:val="289"/>
        </w:trPr>
        <w:tc>
          <w:tcPr>
            <w:tcW w:w="524"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 </w:t>
            </w:r>
          </w:p>
        </w:tc>
        <w:tc>
          <w:tcPr>
            <w:tcW w:w="2057" w:type="pct"/>
            <w:gridSpan w:val="4"/>
            <w:tcBorders>
              <w:top w:val="single" w:sz="4" w:space="0" w:color="auto"/>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ΑΡΙΘΜΟΣ ΕΡΓΑΖΟΜΕΝΩΝ</w:t>
            </w:r>
          </w:p>
        </w:tc>
        <w:tc>
          <w:tcPr>
            <w:tcW w:w="1868" w:type="pct"/>
            <w:gridSpan w:val="4"/>
            <w:tcBorders>
              <w:top w:val="single" w:sz="4" w:space="0" w:color="auto"/>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ΓΕΩΓΡΑΦΙΚΗ ΠΕΡΙΟΧΗ</w:t>
            </w:r>
          </w:p>
        </w:tc>
        <w:tc>
          <w:tcPr>
            <w:tcW w:w="551"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ΥΠΟΚΛΑΔΟΣ</w:t>
            </w:r>
          </w:p>
        </w:tc>
      </w:tr>
      <w:tr w:rsidR="00192FC3" w:rsidRPr="00192FC3" w:rsidTr="00192FC3">
        <w:trPr>
          <w:trHeight w:val="900"/>
        </w:trPr>
        <w:tc>
          <w:tcPr>
            <w:tcW w:w="524" w:type="pct"/>
            <w:vMerge/>
            <w:tcBorders>
              <w:top w:val="nil"/>
              <w:left w:val="single" w:sz="4" w:space="0" w:color="auto"/>
              <w:bottom w:val="single" w:sz="4" w:space="0" w:color="auto"/>
              <w:right w:val="single" w:sz="4" w:space="0" w:color="auto"/>
            </w:tcBorders>
            <w:vAlign w:val="center"/>
            <w:hideMark/>
          </w:tcPr>
          <w:p w:rsidR="00192FC3" w:rsidRPr="00192FC3" w:rsidRDefault="00192FC3" w:rsidP="00700BFC">
            <w:pPr>
              <w:spacing w:after="0" w:line="360" w:lineRule="auto"/>
              <w:rPr>
                <w:rFonts w:ascii="Calibri" w:eastAsia="Times New Roman" w:hAnsi="Calibri" w:cs="Calibri"/>
                <w:b/>
                <w:bCs/>
                <w:color w:val="000000"/>
                <w:sz w:val="16"/>
                <w:szCs w:val="16"/>
              </w:rPr>
            </w:pPr>
          </w:p>
        </w:tc>
        <w:tc>
          <w:tcPr>
            <w:tcW w:w="574"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Χωρίς προσωπικό</w:t>
            </w:r>
          </w:p>
        </w:tc>
        <w:tc>
          <w:tcPr>
            <w:tcW w:w="556"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1 έως 4</w:t>
            </w:r>
          </w:p>
        </w:tc>
        <w:tc>
          <w:tcPr>
            <w:tcW w:w="477"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5 έως 9</w:t>
            </w:r>
          </w:p>
        </w:tc>
        <w:tc>
          <w:tcPr>
            <w:tcW w:w="450"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10 έως 49</w:t>
            </w:r>
          </w:p>
        </w:tc>
        <w:tc>
          <w:tcPr>
            <w:tcW w:w="459"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EL3 ΑΤΤΙΚΗ</w:t>
            </w:r>
          </w:p>
        </w:tc>
        <w:tc>
          <w:tcPr>
            <w:tcW w:w="462"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EL5 ΒΟΡΕΙΑ ΕΛΛΑΔΑ</w:t>
            </w:r>
          </w:p>
        </w:tc>
        <w:tc>
          <w:tcPr>
            <w:tcW w:w="474"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EL6 ΚΕΝΤΡΙΚΗ ΕΛΛΑΔΑ</w:t>
            </w:r>
          </w:p>
        </w:tc>
        <w:tc>
          <w:tcPr>
            <w:tcW w:w="473"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EL4 ΝΗΣΙΑ ΑΙΓΑΙΟΥ &amp; ΚΡΗΤΗ</w:t>
            </w:r>
          </w:p>
        </w:tc>
        <w:tc>
          <w:tcPr>
            <w:tcW w:w="551" w:type="pct"/>
            <w:tcBorders>
              <w:top w:val="nil"/>
              <w:left w:val="nil"/>
              <w:bottom w:val="single" w:sz="4" w:space="0" w:color="auto"/>
              <w:right w:val="single" w:sz="4" w:space="0" w:color="auto"/>
            </w:tcBorders>
            <w:shd w:val="clear" w:color="D9E1F2" w:fill="D9E1F2"/>
            <w:vAlign w:val="center"/>
            <w:hideMark/>
          </w:tcPr>
          <w:p w:rsidR="00192FC3" w:rsidRPr="00192FC3" w:rsidRDefault="00192FC3" w:rsidP="00700BFC">
            <w:pPr>
              <w:spacing w:after="0" w:line="360" w:lineRule="auto"/>
              <w:jc w:val="center"/>
              <w:rPr>
                <w:rFonts w:ascii="Calibri" w:eastAsia="Times New Roman" w:hAnsi="Calibri" w:cs="Calibri"/>
                <w:b/>
                <w:bCs/>
                <w:color w:val="000000"/>
                <w:sz w:val="16"/>
                <w:szCs w:val="16"/>
              </w:rPr>
            </w:pPr>
            <w:r w:rsidRPr="00192FC3">
              <w:rPr>
                <w:rFonts w:ascii="Calibri" w:eastAsia="Times New Roman" w:hAnsi="Calibri" w:cs="Calibri"/>
                <w:b/>
                <w:bCs/>
                <w:color w:val="000000"/>
                <w:sz w:val="16"/>
                <w:szCs w:val="16"/>
              </w:rPr>
              <w:t>Εστίαση</w:t>
            </w:r>
          </w:p>
        </w:tc>
      </w:tr>
      <w:tr w:rsidR="00192FC3" w:rsidRPr="00192FC3"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υξήθηκε</w:t>
            </w:r>
          </w:p>
        </w:tc>
        <w:tc>
          <w:tcPr>
            <w:tcW w:w="5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21,2%</w:t>
            </w:r>
          </w:p>
        </w:tc>
        <w:tc>
          <w:tcPr>
            <w:tcW w:w="556"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28,1%</w:t>
            </w:r>
          </w:p>
        </w:tc>
        <w:tc>
          <w:tcPr>
            <w:tcW w:w="477"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39,6%</w:t>
            </w:r>
          </w:p>
        </w:tc>
        <w:tc>
          <w:tcPr>
            <w:tcW w:w="450"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40,4%</w:t>
            </w:r>
          </w:p>
        </w:tc>
        <w:tc>
          <w:tcPr>
            <w:tcW w:w="459"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28,5%</w:t>
            </w:r>
          </w:p>
        </w:tc>
        <w:tc>
          <w:tcPr>
            <w:tcW w:w="462"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24,9%</w:t>
            </w:r>
          </w:p>
        </w:tc>
        <w:tc>
          <w:tcPr>
            <w:tcW w:w="4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24,3%</w:t>
            </w:r>
          </w:p>
        </w:tc>
        <w:tc>
          <w:tcPr>
            <w:tcW w:w="473"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41,3%</w:t>
            </w:r>
          </w:p>
        </w:tc>
        <w:tc>
          <w:tcPr>
            <w:tcW w:w="551"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23,3%</w:t>
            </w:r>
          </w:p>
        </w:tc>
      </w:tr>
      <w:tr w:rsidR="00192FC3" w:rsidRPr="00192FC3"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Α</w:t>
            </w:r>
            <w:r w:rsidR="00192FC3" w:rsidRPr="00192FC3">
              <w:rPr>
                <w:rFonts w:ascii="Calibri" w:eastAsia="Times New Roman" w:hAnsi="Calibri" w:cs="Calibri"/>
                <w:color w:val="000000"/>
                <w:sz w:val="16"/>
                <w:szCs w:val="16"/>
              </w:rPr>
              <w:t>μετάβλητη</w:t>
            </w:r>
          </w:p>
        </w:tc>
        <w:tc>
          <w:tcPr>
            <w:tcW w:w="5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25,9%</w:t>
            </w:r>
          </w:p>
        </w:tc>
        <w:tc>
          <w:tcPr>
            <w:tcW w:w="556"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26,2%</w:t>
            </w:r>
          </w:p>
        </w:tc>
        <w:tc>
          <w:tcPr>
            <w:tcW w:w="477"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27,7%</w:t>
            </w:r>
          </w:p>
        </w:tc>
        <w:tc>
          <w:tcPr>
            <w:tcW w:w="450"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30,8%</w:t>
            </w:r>
          </w:p>
        </w:tc>
        <w:tc>
          <w:tcPr>
            <w:tcW w:w="459"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24,1%</w:t>
            </w:r>
          </w:p>
        </w:tc>
        <w:tc>
          <w:tcPr>
            <w:tcW w:w="462"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29,5%</w:t>
            </w:r>
          </w:p>
        </w:tc>
        <w:tc>
          <w:tcPr>
            <w:tcW w:w="4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24,9%</w:t>
            </w:r>
          </w:p>
        </w:tc>
        <w:tc>
          <w:tcPr>
            <w:tcW w:w="473"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28,8%</w:t>
            </w:r>
          </w:p>
        </w:tc>
        <w:tc>
          <w:tcPr>
            <w:tcW w:w="551"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23,3%</w:t>
            </w:r>
          </w:p>
        </w:tc>
      </w:tr>
      <w:tr w:rsidR="00192FC3" w:rsidRPr="00192FC3" w:rsidTr="00192FC3">
        <w:trPr>
          <w:trHeight w:val="300"/>
        </w:trPr>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192FC3" w:rsidRPr="00192FC3" w:rsidRDefault="00D96505" w:rsidP="00700BFC">
            <w:pPr>
              <w:spacing w:after="0" w:line="360" w:lineRule="auto"/>
              <w:rPr>
                <w:rFonts w:ascii="Calibri" w:eastAsia="Times New Roman" w:hAnsi="Calibri" w:cs="Calibri"/>
                <w:color w:val="000000"/>
                <w:sz w:val="16"/>
                <w:szCs w:val="16"/>
              </w:rPr>
            </w:pPr>
            <w:r>
              <w:rPr>
                <w:rFonts w:ascii="Calibri" w:eastAsia="Times New Roman" w:hAnsi="Calibri" w:cs="Calibri"/>
                <w:color w:val="000000"/>
                <w:sz w:val="16"/>
                <w:szCs w:val="16"/>
              </w:rPr>
              <w:t>Μ</w:t>
            </w:r>
            <w:r w:rsidR="00192FC3" w:rsidRPr="00192FC3">
              <w:rPr>
                <w:rFonts w:ascii="Calibri" w:eastAsia="Times New Roman" w:hAnsi="Calibri" w:cs="Calibri"/>
                <w:color w:val="000000"/>
                <w:sz w:val="16"/>
                <w:szCs w:val="16"/>
              </w:rPr>
              <w:t>ειώθηκε</w:t>
            </w:r>
          </w:p>
        </w:tc>
        <w:tc>
          <w:tcPr>
            <w:tcW w:w="5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52,2%</w:t>
            </w:r>
          </w:p>
        </w:tc>
        <w:tc>
          <w:tcPr>
            <w:tcW w:w="556"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45,2%</w:t>
            </w:r>
          </w:p>
        </w:tc>
        <w:tc>
          <w:tcPr>
            <w:tcW w:w="477"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31,7%</w:t>
            </w:r>
          </w:p>
        </w:tc>
        <w:tc>
          <w:tcPr>
            <w:tcW w:w="450"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28,8%</w:t>
            </w:r>
          </w:p>
        </w:tc>
        <w:tc>
          <w:tcPr>
            <w:tcW w:w="459"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46,7%</w:t>
            </w:r>
          </w:p>
        </w:tc>
        <w:tc>
          <w:tcPr>
            <w:tcW w:w="462"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45,2%</w:t>
            </w:r>
          </w:p>
        </w:tc>
        <w:tc>
          <w:tcPr>
            <w:tcW w:w="474"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50,8%</w:t>
            </w:r>
          </w:p>
        </w:tc>
        <w:tc>
          <w:tcPr>
            <w:tcW w:w="473"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27,9%</w:t>
            </w:r>
          </w:p>
        </w:tc>
        <w:tc>
          <w:tcPr>
            <w:tcW w:w="551" w:type="pct"/>
            <w:tcBorders>
              <w:top w:val="nil"/>
              <w:left w:val="nil"/>
              <w:bottom w:val="single" w:sz="4" w:space="0" w:color="auto"/>
              <w:right w:val="single" w:sz="4" w:space="0" w:color="auto"/>
            </w:tcBorders>
            <w:shd w:val="clear" w:color="auto" w:fill="auto"/>
            <w:vAlign w:val="center"/>
            <w:hideMark/>
          </w:tcPr>
          <w:p w:rsidR="00192FC3" w:rsidRPr="00192FC3" w:rsidRDefault="00192FC3" w:rsidP="00700BFC">
            <w:pPr>
              <w:spacing w:after="0" w:line="360" w:lineRule="auto"/>
              <w:jc w:val="center"/>
              <w:rPr>
                <w:rFonts w:ascii="Calibri" w:eastAsia="Times New Roman" w:hAnsi="Calibri" w:cs="Calibri"/>
                <w:color w:val="000000"/>
                <w:sz w:val="16"/>
                <w:szCs w:val="16"/>
              </w:rPr>
            </w:pPr>
            <w:r w:rsidRPr="00192FC3">
              <w:rPr>
                <w:rFonts w:ascii="Calibri" w:eastAsia="Times New Roman" w:hAnsi="Calibri" w:cs="Calibri"/>
                <w:color w:val="000000"/>
                <w:sz w:val="16"/>
                <w:szCs w:val="16"/>
              </w:rPr>
              <w:t>53,4%</w:t>
            </w:r>
          </w:p>
        </w:tc>
      </w:tr>
    </w:tbl>
    <w:p w:rsidR="00D96505" w:rsidRDefault="00D96505" w:rsidP="00700BFC">
      <w:pPr>
        <w:spacing w:after="160" w:line="360" w:lineRule="auto"/>
        <w:jc w:val="both"/>
        <w:rPr>
          <w:rFonts w:ascii="Calibri" w:eastAsia="Calibri" w:hAnsi="Calibri" w:cs="Times New Roman"/>
        </w:rPr>
      </w:pPr>
    </w:p>
    <w:tbl>
      <w:tblPr>
        <w:tblW w:w="5000" w:type="pct"/>
        <w:tblLook w:val="04A0" w:firstRow="1" w:lastRow="0" w:firstColumn="1" w:lastColumn="0" w:noHBand="0" w:noVBand="1"/>
      </w:tblPr>
      <w:tblGrid>
        <w:gridCol w:w="1185"/>
        <w:gridCol w:w="1210"/>
        <w:gridCol w:w="1248"/>
        <w:gridCol w:w="1013"/>
        <w:gridCol w:w="936"/>
        <w:gridCol w:w="961"/>
        <w:gridCol w:w="970"/>
        <w:gridCol w:w="1004"/>
        <w:gridCol w:w="1000"/>
        <w:gridCol w:w="1178"/>
      </w:tblGrid>
      <w:tr w:rsidR="00D96505" w:rsidRPr="00D96505" w:rsidTr="00D96505">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rsidR="00D96505"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lastRenderedPageBreak/>
              <w:t>ΠΙΝΑΚΑΣ 3</w:t>
            </w:r>
          </w:p>
          <w:p w:rsidR="00D96505" w:rsidRPr="00D96505" w:rsidRDefault="00D96505" w:rsidP="00700BFC">
            <w:pPr>
              <w:spacing w:after="0" w:line="360" w:lineRule="auto"/>
              <w:jc w:val="center"/>
              <w:rPr>
                <w:rFonts w:ascii="Calibri" w:eastAsia="Times New Roman" w:hAnsi="Calibri" w:cs="Calibri"/>
                <w:b/>
                <w:bCs/>
                <w:color w:val="000000"/>
                <w:sz w:val="24"/>
                <w:szCs w:val="24"/>
              </w:rPr>
            </w:pPr>
            <w:r w:rsidRPr="00D96505">
              <w:rPr>
                <w:rFonts w:ascii="Calibri" w:eastAsia="Times New Roman" w:hAnsi="Calibri" w:cs="Calibri"/>
                <w:b/>
                <w:bCs/>
                <w:color w:val="000000"/>
                <w:sz w:val="24"/>
                <w:szCs w:val="24"/>
              </w:rPr>
              <w:t>ΠΑΡΑΓΓΕΛΙΕΣ ΠΡΩΤΟΥ ΕΞΑΜΗΝΟΥ 2022 ΑΝΑ ΚΑΤΗΓΟΡΙΑ</w:t>
            </w:r>
          </w:p>
        </w:tc>
      </w:tr>
      <w:tr w:rsidR="00D96505" w:rsidRPr="00D96505" w:rsidTr="00D96505">
        <w:trPr>
          <w:trHeight w:val="300"/>
        </w:trPr>
        <w:tc>
          <w:tcPr>
            <w:tcW w:w="554"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 </w:t>
            </w:r>
          </w:p>
        </w:tc>
        <w:tc>
          <w:tcPr>
            <w:tcW w:w="1620" w:type="pct"/>
            <w:gridSpan w:val="3"/>
            <w:tcBorders>
              <w:top w:val="single" w:sz="4" w:space="0" w:color="auto"/>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ΚΛΑΔΟΣ</w:t>
            </w:r>
          </w:p>
        </w:tc>
        <w:tc>
          <w:tcPr>
            <w:tcW w:w="2826" w:type="pct"/>
            <w:gridSpan w:val="6"/>
            <w:tcBorders>
              <w:top w:val="single" w:sz="4" w:space="0" w:color="auto"/>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 xml:space="preserve">ΕΤΗΣΙΟΣ ΚΥΚΛΟΣ ΕΡΓΑΣΙΩΝ </w:t>
            </w:r>
          </w:p>
        </w:tc>
      </w:tr>
      <w:tr w:rsidR="00D96505" w:rsidRPr="00D96505" w:rsidTr="00D96505">
        <w:trPr>
          <w:trHeight w:val="600"/>
        </w:trPr>
        <w:tc>
          <w:tcPr>
            <w:tcW w:w="554" w:type="pct"/>
            <w:vMerge/>
            <w:tcBorders>
              <w:top w:val="nil"/>
              <w:left w:val="single" w:sz="4" w:space="0" w:color="auto"/>
              <w:bottom w:val="single" w:sz="4" w:space="0" w:color="auto"/>
              <w:right w:val="single" w:sz="4" w:space="0" w:color="auto"/>
            </w:tcBorders>
            <w:vAlign w:val="center"/>
            <w:hideMark/>
          </w:tcPr>
          <w:p w:rsidR="00D96505" w:rsidRPr="00D96505" w:rsidRDefault="00D96505" w:rsidP="00700BFC">
            <w:pPr>
              <w:spacing w:after="0" w:line="360" w:lineRule="auto"/>
              <w:rPr>
                <w:rFonts w:ascii="Calibri" w:eastAsia="Times New Roman" w:hAnsi="Calibri" w:cs="Calibri"/>
                <w:b/>
                <w:bCs/>
                <w:color w:val="000000"/>
                <w:sz w:val="16"/>
                <w:szCs w:val="16"/>
              </w:rPr>
            </w:pPr>
          </w:p>
        </w:tc>
        <w:tc>
          <w:tcPr>
            <w:tcW w:w="565"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Εμπόριο</w:t>
            </w:r>
          </w:p>
        </w:tc>
        <w:tc>
          <w:tcPr>
            <w:tcW w:w="583" w:type="pct"/>
            <w:tcBorders>
              <w:top w:val="nil"/>
              <w:left w:val="nil"/>
              <w:bottom w:val="single" w:sz="4" w:space="0" w:color="auto"/>
              <w:right w:val="single" w:sz="4" w:space="0" w:color="auto"/>
            </w:tcBorders>
            <w:shd w:val="clear" w:color="D9E1F2" w:fill="D9E1F2"/>
            <w:vAlign w:val="center"/>
            <w:hideMark/>
          </w:tcPr>
          <w:p w:rsidR="00D96505" w:rsidRPr="00D96505" w:rsidRDefault="002B7D15"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Μεταποίηση</w:t>
            </w:r>
          </w:p>
        </w:tc>
        <w:tc>
          <w:tcPr>
            <w:tcW w:w="473"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Υπηρεσίες</w:t>
            </w:r>
          </w:p>
        </w:tc>
        <w:tc>
          <w:tcPr>
            <w:tcW w:w="437" w:type="pct"/>
            <w:tcBorders>
              <w:top w:val="nil"/>
              <w:left w:val="nil"/>
              <w:bottom w:val="single" w:sz="4" w:space="0" w:color="auto"/>
              <w:right w:val="single" w:sz="4" w:space="0" w:color="auto"/>
            </w:tcBorders>
            <w:shd w:val="clear" w:color="D9E1F2" w:fill="D9E1F2"/>
            <w:vAlign w:val="center"/>
            <w:hideMark/>
          </w:tcPr>
          <w:p w:rsidR="00D96505" w:rsidRPr="00D96505"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00D96505" w:rsidRPr="00D96505">
              <w:rPr>
                <w:rFonts w:ascii="Calibri" w:eastAsia="Times New Roman" w:hAnsi="Calibri" w:cs="Calibri"/>
                <w:b/>
                <w:bCs/>
                <w:color w:val="000000"/>
                <w:sz w:val="16"/>
                <w:szCs w:val="16"/>
              </w:rPr>
              <w:t xml:space="preserve"> 50.000 €</w:t>
            </w:r>
          </w:p>
        </w:tc>
        <w:tc>
          <w:tcPr>
            <w:tcW w:w="449"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50.000 - 100.000 €</w:t>
            </w:r>
          </w:p>
        </w:tc>
        <w:tc>
          <w:tcPr>
            <w:tcW w:w="453"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100.001 - 300.000 €</w:t>
            </w:r>
          </w:p>
        </w:tc>
        <w:tc>
          <w:tcPr>
            <w:tcW w:w="469"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300.001 - 500.000 €</w:t>
            </w:r>
          </w:p>
        </w:tc>
        <w:tc>
          <w:tcPr>
            <w:tcW w:w="467"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500.001 - 1.000.000 €</w:t>
            </w:r>
          </w:p>
        </w:tc>
        <w:tc>
          <w:tcPr>
            <w:tcW w:w="551"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Πάνω από 1.000.000 €</w:t>
            </w:r>
          </w:p>
        </w:tc>
      </w:tr>
      <w:tr w:rsidR="00D96505" w:rsidRPr="00D96505"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Αυξήθηκαν</w:t>
            </w:r>
          </w:p>
        </w:tc>
        <w:tc>
          <w:tcPr>
            <w:tcW w:w="565"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20,1%</w:t>
            </w:r>
          </w:p>
        </w:tc>
        <w:tc>
          <w:tcPr>
            <w:tcW w:w="58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30,1%</w:t>
            </w:r>
          </w:p>
        </w:tc>
        <w:tc>
          <w:tcPr>
            <w:tcW w:w="47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26,5%</w:t>
            </w:r>
          </w:p>
        </w:tc>
        <w:tc>
          <w:tcPr>
            <w:tcW w:w="43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21,3%</w:t>
            </w:r>
          </w:p>
        </w:tc>
        <w:tc>
          <w:tcPr>
            <w:tcW w:w="44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27,6%</w:t>
            </w:r>
          </w:p>
        </w:tc>
        <w:tc>
          <w:tcPr>
            <w:tcW w:w="45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28,3%</w:t>
            </w:r>
          </w:p>
        </w:tc>
        <w:tc>
          <w:tcPr>
            <w:tcW w:w="46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30,6%</w:t>
            </w:r>
          </w:p>
        </w:tc>
        <w:tc>
          <w:tcPr>
            <w:tcW w:w="46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39,4%</w:t>
            </w:r>
          </w:p>
        </w:tc>
        <w:tc>
          <w:tcPr>
            <w:tcW w:w="551"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37,1%</w:t>
            </w:r>
          </w:p>
        </w:tc>
      </w:tr>
      <w:tr w:rsidR="00D96505" w:rsidRPr="00D96505"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Αμετάβλητες</w:t>
            </w:r>
          </w:p>
        </w:tc>
        <w:tc>
          <w:tcPr>
            <w:tcW w:w="565"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24,4%</w:t>
            </w:r>
          </w:p>
        </w:tc>
        <w:tc>
          <w:tcPr>
            <w:tcW w:w="58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26,9%</w:t>
            </w:r>
          </w:p>
        </w:tc>
        <w:tc>
          <w:tcPr>
            <w:tcW w:w="47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29,8%</w:t>
            </w:r>
          </w:p>
        </w:tc>
        <w:tc>
          <w:tcPr>
            <w:tcW w:w="43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24,4%</w:t>
            </w:r>
          </w:p>
        </w:tc>
        <w:tc>
          <w:tcPr>
            <w:tcW w:w="44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24,6%</w:t>
            </w:r>
          </w:p>
        </w:tc>
        <w:tc>
          <w:tcPr>
            <w:tcW w:w="45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31,2%</w:t>
            </w:r>
          </w:p>
        </w:tc>
        <w:tc>
          <w:tcPr>
            <w:tcW w:w="46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33,3%</w:t>
            </w:r>
          </w:p>
        </w:tc>
        <w:tc>
          <w:tcPr>
            <w:tcW w:w="46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27,3%</w:t>
            </w:r>
          </w:p>
        </w:tc>
        <w:tc>
          <w:tcPr>
            <w:tcW w:w="551"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17,1%</w:t>
            </w:r>
          </w:p>
        </w:tc>
      </w:tr>
      <w:tr w:rsidR="00D96505" w:rsidRPr="00D96505"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Μειώθηκαν</w:t>
            </w:r>
          </w:p>
        </w:tc>
        <w:tc>
          <w:tcPr>
            <w:tcW w:w="565"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54,5%</w:t>
            </w:r>
          </w:p>
        </w:tc>
        <w:tc>
          <w:tcPr>
            <w:tcW w:w="58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43,0%</w:t>
            </w:r>
          </w:p>
        </w:tc>
        <w:tc>
          <w:tcPr>
            <w:tcW w:w="47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41,1%</w:t>
            </w:r>
          </w:p>
        </w:tc>
        <w:tc>
          <w:tcPr>
            <w:tcW w:w="43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53,2%</w:t>
            </w:r>
          </w:p>
        </w:tc>
        <w:tc>
          <w:tcPr>
            <w:tcW w:w="44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46,3%</w:t>
            </w:r>
          </w:p>
        </w:tc>
        <w:tc>
          <w:tcPr>
            <w:tcW w:w="45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39,9%</w:t>
            </w:r>
          </w:p>
        </w:tc>
        <w:tc>
          <w:tcPr>
            <w:tcW w:w="46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36,1%</w:t>
            </w:r>
          </w:p>
        </w:tc>
        <w:tc>
          <w:tcPr>
            <w:tcW w:w="46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33,3%</w:t>
            </w:r>
          </w:p>
        </w:tc>
        <w:tc>
          <w:tcPr>
            <w:tcW w:w="551"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45,7%</w:t>
            </w:r>
          </w:p>
        </w:tc>
      </w:tr>
      <w:tr w:rsidR="00D96505" w:rsidRPr="00D96505" w:rsidTr="00D96505">
        <w:trPr>
          <w:trHeight w:val="289"/>
        </w:trPr>
        <w:tc>
          <w:tcPr>
            <w:tcW w:w="554"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 </w:t>
            </w:r>
          </w:p>
        </w:tc>
        <w:tc>
          <w:tcPr>
            <w:tcW w:w="2057" w:type="pct"/>
            <w:gridSpan w:val="4"/>
            <w:tcBorders>
              <w:top w:val="single" w:sz="4" w:space="0" w:color="auto"/>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ΑΡΙΘΜΟΣ ΕΡΓΑΖΟΜΕΝΩΝ</w:t>
            </w:r>
          </w:p>
        </w:tc>
        <w:tc>
          <w:tcPr>
            <w:tcW w:w="1838" w:type="pct"/>
            <w:gridSpan w:val="4"/>
            <w:tcBorders>
              <w:top w:val="single" w:sz="4" w:space="0" w:color="auto"/>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ΓΕΩΓΡΑΦΙΚΗ ΠΕΡΙΟΧΗ</w:t>
            </w:r>
          </w:p>
        </w:tc>
        <w:tc>
          <w:tcPr>
            <w:tcW w:w="551"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ΥΠΟΚΛΑΔΟΣ</w:t>
            </w:r>
          </w:p>
        </w:tc>
      </w:tr>
      <w:tr w:rsidR="00D96505" w:rsidRPr="00D96505" w:rsidTr="00D96505">
        <w:trPr>
          <w:trHeight w:val="900"/>
        </w:trPr>
        <w:tc>
          <w:tcPr>
            <w:tcW w:w="554" w:type="pct"/>
            <w:vMerge/>
            <w:tcBorders>
              <w:top w:val="nil"/>
              <w:left w:val="single" w:sz="4" w:space="0" w:color="auto"/>
              <w:bottom w:val="single" w:sz="4" w:space="0" w:color="auto"/>
              <w:right w:val="single" w:sz="4" w:space="0" w:color="auto"/>
            </w:tcBorders>
            <w:vAlign w:val="center"/>
            <w:hideMark/>
          </w:tcPr>
          <w:p w:rsidR="00D96505" w:rsidRPr="00D96505" w:rsidRDefault="00D96505" w:rsidP="00700BFC">
            <w:pPr>
              <w:spacing w:after="0" w:line="360" w:lineRule="auto"/>
              <w:rPr>
                <w:rFonts w:ascii="Calibri" w:eastAsia="Times New Roman" w:hAnsi="Calibri" w:cs="Calibri"/>
                <w:b/>
                <w:bCs/>
                <w:color w:val="000000"/>
                <w:sz w:val="16"/>
                <w:szCs w:val="16"/>
              </w:rPr>
            </w:pPr>
          </w:p>
        </w:tc>
        <w:tc>
          <w:tcPr>
            <w:tcW w:w="565"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Χωρίς προσωπικό</w:t>
            </w:r>
          </w:p>
        </w:tc>
        <w:tc>
          <w:tcPr>
            <w:tcW w:w="583"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1 έως 4</w:t>
            </w:r>
          </w:p>
        </w:tc>
        <w:tc>
          <w:tcPr>
            <w:tcW w:w="473"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5 έως 9</w:t>
            </w:r>
          </w:p>
        </w:tc>
        <w:tc>
          <w:tcPr>
            <w:tcW w:w="437"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10 έως 49</w:t>
            </w:r>
          </w:p>
        </w:tc>
        <w:tc>
          <w:tcPr>
            <w:tcW w:w="449"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EL3 ΑΤΤΙΚΗ</w:t>
            </w:r>
          </w:p>
        </w:tc>
        <w:tc>
          <w:tcPr>
            <w:tcW w:w="453"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EL5 ΒΟΡΕΙΑ ΕΛΛΑΔΑ</w:t>
            </w:r>
          </w:p>
        </w:tc>
        <w:tc>
          <w:tcPr>
            <w:tcW w:w="469"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EL6 ΚΕΝΤΡΙΚΗ ΕΛΛΑΔΑ</w:t>
            </w:r>
          </w:p>
        </w:tc>
        <w:tc>
          <w:tcPr>
            <w:tcW w:w="467"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EL4 ΝΗΣΙΑ ΑΙΓΑΙΟΥ &amp; ΚΡΗΤΗ</w:t>
            </w:r>
          </w:p>
        </w:tc>
        <w:tc>
          <w:tcPr>
            <w:tcW w:w="551" w:type="pct"/>
            <w:tcBorders>
              <w:top w:val="nil"/>
              <w:left w:val="nil"/>
              <w:bottom w:val="single" w:sz="4" w:space="0" w:color="auto"/>
              <w:right w:val="single" w:sz="4" w:space="0" w:color="auto"/>
            </w:tcBorders>
            <w:shd w:val="clear" w:color="D9E1F2" w:fill="D9E1F2"/>
            <w:vAlign w:val="center"/>
            <w:hideMark/>
          </w:tcPr>
          <w:p w:rsidR="00D96505" w:rsidRPr="00D96505" w:rsidRDefault="00D96505" w:rsidP="00700BFC">
            <w:pPr>
              <w:spacing w:after="0" w:line="360" w:lineRule="auto"/>
              <w:jc w:val="center"/>
              <w:rPr>
                <w:rFonts w:ascii="Calibri" w:eastAsia="Times New Roman" w:hAnsi="Calibri" w:cs="Calibri"/>
                <w:b/>
                <w:bCs/>
                <w:color w:val="000000"/>
                <w:sz w:val="16"/>
                <w:szCs w:val="16"/>
              </w:rPr>
            </w:pPr>
            <w:r w:rsidRPr="00D96505">
              <w:rPr>
                <w:rFonts w:ascii="Calibri" w:eastAsia="Times New Roman" w:hAnsi="Calibri" w:cs="Calibri"/>
                <w:b/>
                <w:bCs/>
                <w:color w:val="000000"/>
                <w:sz w:val="16"/>
                <w:szCs w:val="16"/>
              </w:rPr>
              <w:t>Εστίαση</w:t>
            </w:r>
          </w:p>
        </w:tc>
      </w:tr>
      <w:tr w:rsidR="00D96505" w:rsidRPr="00D96505"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Αυξήθηκαν</w:t>
            </w:r>
          </w:p>
        </w:tc>
        <w:tc>
          <w:tcPr>
            <w:tcW w:w="565"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18,0%</w:t>
            </w:r>
          </w:p>
        </w:tc>
        <w:tc>
          <w:tcPr>
            <w:tcW w:w="58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24,8%</w:t>
            </w:r>
          </w:p>
        </w:tc>
        <w:tc>
          <w:tcPr>
            <w:tcW w:w="47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35,6%</w:t>
            </w:r>
          </w:p>
        </w:tc>
        <w:tc>
          <w:tcPr>
            <w:tcW w:w="43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38,5%</w:t>
            </w:r>
          </w:p>
        </w:tc>
        <w:tc>
          <w:tcPr>
            <w:tcW w:w="44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24,4%</w:t>
            </w:r>
          </w:p>
        </w:tc>
        <w:tc>
          <w:tcPr>
            <w:tcW w:w="45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21,2%</w:t>
            </w:r>
          </w:p>
        </w:tc>
        <w:tc>
          <w:tcPr>
            <w:tcW w:w="46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22,2%</w:t>
            </w:r>
          </w:p>
        </w:tc>
        <w:tc>
          <w:tcPr>
            <w:tcW w:w="46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39,4%</w:t>
            </w:r>
          </w:p>
        </w:tc>
        <w:tc>
          <w:tcPr>
            <w:tcW w:w="551"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21,9%</w:t>
            </w:r>
          </w:p>
        </w:tc>
      </w:tr>
      <w:tr w:rsidR="00D96505" w:rsidRPr="00D96505"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Αμετάβλητες</w:t>
            </w:r>
          </w:p>
        </w:tc>
        <w:tc>
          <w:tcPr>
            <w:tcW w:w="565"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26,3%</w:t>
            </w:r>
          </w:p>
        </w:tc>
        <w:tc>
          <w:tcPr>
            <w:tcW w:w="58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27,3%</w:t>
            </w:r>
          </w:p>
        </w:tc>
        <w:tc>
          <w:tcPr>
            <w:tcW w:w="47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27,7%</w:t>
            </w:r>
          </w:p>
        </w:tc>
        <w:tc>
          <w:tcPr>
            <w:tcW w:w="43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32,7%</w:t>
            </w:r>
          </w:p>
        </w:tc>
        <w:tc>
          <w:tcPr>
            <w:tcW w:w="44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26,5%</w:t>
            </w:r>
          </w:p>
        </w:tc>
        <w:tc>
          <w:tcPr>
            <w:tcW w:w="45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28,1%</w:t>
            </w:r>
          </w:p>
        </w:tc>
        <w:tc>
          <w:tcPr>
            <w:tcW w:w="46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24,9%</w:t>
            </w:r>
          </w:p>
        </w:tc>
        <w:tc>
          <w:tcPr>
            <w:tcW w:w="46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30,8%</w:t>
            </w:r>
          </w:p>
        </w:tc>
        <w:tc>
          <w:tcPr>
            <w:tcW w:w="551"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20,5%</w:t>
            </w:r>
          </w:p>
        </w:tc>
      </w:tr>
      <w:tr w:rsidR="00D96505" w:rsidRPr="00D96505" w:rsidTr="00D96505">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D96505" w:rsidRPr="00D96505" w:rsidRDefault="00D96505" w:rsidP="00700BFC">
            <w:pPr>
              <w:spacing w:after="0" w:line="360" w:lineRule="auto"/>
              <w:rPr>
                <w:rFonts w:ascii="Calibri" w:eastAsia="Times New Roman" w:hAnsi="Calibri" w:cs="Calibri"/>
                <w:color w:val="000000"/>
                <w:sz w:val="16"/>
                <w:szCs w:val="16"/>
              </w:rPr>
            </w:pPr>
            <w:r w:rsidRPr="00D96505">
              <w:rPr>
                <w:rFonts w:ascii="Calibri" w:eastAsia="Times New Roman" w:hAnsi="Calibri" w:cs="Calibri"/>
                <w:color w:val="000000"/>
                <w:sz w:val="16"/>
                <w:szCs w:val="16"/>
              </w:rPr>
              <w:t>Μειώθηκαν</w:t>
            </w:r>
          </w:p>
        </w:tc>
        <w:tc>
          <w:tcPr>
            <w:tcW w:w="565"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54,3%</w:t>
            </w:r>
          </w:p>
        </w:tc>
        <w:tc>
          <w:tcPr>
            <w:tcW w:w="58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46,6%</w:t>
            </w:r>
          </w:p>
        </w:tc>
        <w:tc>
          <w:tcPr>
            <w:tcW w:w="47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34,7%</w:t>
            </w:r>
          </w:p>
        </w:tc>
        <w:tc>
          <w:tcPr>
            <w:tcW w:w="43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28,8%</w:t>
            </w:r>
          </w:p>
        </w:tc>
        <w:tc>
          <w:tcPr>
            <w:tcW w:w="44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47,1%</w:t>
            </w:r>
          </w:p>
        </w:tc>
        <w:tc>
          <w:tcPr>
            <w:tcW w:w="453"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49,8%</w:t>
            </w:r>
          </w:p>
        </w:tc>
        <w:tc>
          <w:tcPr>
            <w:tcW w:w="469"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52,4%</w:t>
            </w:r>
          </w:p>
        </w:tc>
        <w:tc>
          <w:tcPr>
            <w:tcW w:w="467"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27,9%</w:t>
            </w:r>
          </w:p>
        </w:tc>
        <w:tc>
          <w:tcPr>
            <w:tcW w:w="551" w:type="pct"/>
            <w:tcBorders>
              <w:top w:val="nil"/>
              <w:left w:val="nil"/>
              <w:bottom w:val="single" w:sz="4" w:space="0" w:color="auto"/>
              <w:right w:val="single" w:sz="4" w:space="0" w:color="auto"/>
            </w:tcBorders>
            <w:shd w:val="clear" w:color="auto" w:fill="auto"/>
            <w:vAlign w:val="center"/>
            <w:hideMark/>
          </w:tcPr>
          <w:p w:rsidR="00D96505" w:rsidRPr="00D96505" w:rsidRDefault="00D96505" w:rsidP="00700BFC">
            <w:pPr>
              <w:spacing w:after="0" w:line="360" w:lineRule="auto"/>
              <w:jc w:val="center"/>
              <w:rPr>
                <w:rFonts w:ascii="Calibri" w:eastAsia="Times New Roman" w:hAnsi="Calibri" w:cs="Calibri"/>
                <w:color w:val="000000"/>
                <w:sz w:val="16"/>
                <w:szCs w:val="16"/>
              </w:rPr>
            </w:pPr>
            <w:r w:rsidRPr="00D96505">
              <w:rPr>
                <w:rFonts w:ascii="Calibri" w:eastAsia="Times New Roman" w:hAnsi="Calibri" w:cs="Calibri"/>
                <w:color w:val="000000"/>
                <w:sz w:val="16"/>
                <w:szCs w:val="16"/>
              </w:rPr>
              <w:t>57,5%</w:t>
            </w:r>
          </w:p>
        </w:tc>
      </w:tr>
    </w:tbl>
    <w:p w:rsidR="00C60420" w:rsidRPr="006F0645" w:rsidRDefault="00C60420" w:rsidP="00700BFC">
      <w:pPr>
        <w:spacing w:after="160" w:line="360" w:lineRule="auto"/>
        <w:jc w:val="both"/>
        <w:rPr>
          <w:rFonts w:ascii="Calibri" w:eastAsia="Calibri" w:hAnsi="Calibri" w:cs="Times New Roman"/>
        </w:rPr>
      </w:pPr>
    </w:p>
    <w:p w:rsidR="00875508" w:rsidRPr="0071365A" w:rsidRDefault="00875508" w:rsidP="00700BFC">
      <w:pPr>
        <w:pStyle w:val="a3"/>
        <w:numPr>
          <w:ilvl w:val="0"/>
          <w:numId w:val="4"/>
        </w:numPr>
        <w:spacing w:after="0" w:line="360" w:lineRule="auto"/>
        <w:jc w:val="both"/>
        <w:rPr>
          <w:rFonts w:ascii="Calibri" w:eastAsia="Calibri" w:hAnsi="Calibri" w:cs="Times New Roman"/>
          <w:b/>
          <w:sz w:val="24"/>
          <w:szCs w:val="24"/>
          <w:u w:val="single"/>
        </w:rPr>
      </w:pPr>
      <w:r w:rsidRPr="0071365A">
        <w:rPr>
          <w:rFonts w:ascii="Calibri" w:eastAsia="Calibri" w:hAnsi="Calibri" w:cs="Times New Roman"/>
          <w:b/>
          <w:sz w:val="24"/>
          <w:szCs w:val="24"/>
          <w:u w:val="single"/>
        </w:rPr>
        <w:t>Ρευστότητα – Ταμειακά διαθέσιμα</w:t>
      </w:r>
    </w:p>
    <w:p w:rsidR="00F33DBB" w:rsidRPr="00EA4534" w:rsidRDefault="008B1AF6" w:rsidP="00700BFC">
      <w:pPr>
        <w:spacing w:after="0" w:line="360" w:lineRule="auto"/>
        <w:jc w:val="both"/>
        <w:rPr>
          <w:rFonts w:ascii="Calibri" w:eastAsia="Calibri" w:hAnsi="Calibri" w:cs="Times New Roman"/>
          <w:sz w:val="24"/>
          <w:szCs w:val="24"/>
        </w:rPr>
      </w:pPr>
      <w:r w:rsidRPr="00547A9B">
        <w:rPr>
          <w:rFonts w:ascii="Calibri" w:eastAsia="Calibri" w:hAnsi="Calibri" w:cs="Times New Roman"/>
          <w:sz w:val="24"/>
          <w:szCs w:val="24"/>
        </w:rPr>
        <w:t xml:space="preserve">Αρνητική είναι η εικόνα όσον αφορά </w:t>
      </w:r>
      <w:r w:rsidR="00EA4534">
        <w:rPr>
          <w:rFonts w:ascii="Calibri" w:eastAsia="Calibri" w:hAnsi="Calibri" w:cs="Times New Roman"/>
          <w:sz w:val="24"/>
          <w:szCs w:val="24"/>
        </w:rPr>
        <w:t>τη ρευστότητα</w:t>
      </w:r>
      <w:r w:rsidRPr="00547A9B">
        <w:rPr>
          <w:rFonts w:ascii="Calibri" w:eastAsia="Calibri" w:hAnsi="Calibri" w:cs="Times New Roman"/>
          <w:sz w:val="24"/>
          <w:szCs w:val="24"/>
        </w:rPr>
        <w:t xml:space="preserve"> των επιχειρήσεων</w:t>
      </w:r>
      <w:r w:rsidR="00D61829" w:rsidRPr="00547A9B">
        <w:rPr>
          <w:rFonts w:ascii="Calibri" w:eastAsia="Calibri" w:hAnsi="Calibri" w:cs="Times New Roman"/>
          <w:sz w:val="24"/>
          <w:szCs w:val="24"/>
        </w:rPr>
        <w:t xml:space="preserve"> αφού περίπου το 5</w:t>
      </w:r>
      <w:r w:rsidR="00E66AA5">
        <w:rPr>
          <w:rFonts w:ascii="Calibri" w:eastAsia="Calibri" w:hAnsi="Calibri" w:cs="Times New Roman"/>
          <w:sz w:val="24"/>
          <w:szCs w:val="24"/>
        </w:rPr>
        <w:t>2,7</w:t>
      </w:r>
      <w:r w:rsidR="00D61829" w:rsidRPr="00547A9B">
        <w:rPr>
          <w:rFonts w:ascii="Calibri" w:eastAsia="Calibri" w:hAnsi="Calibri" w:cs="Times New Roman"/>
          <w:sz w:val="24"/>
          <w:szCs w:val="24"/>
        </w:rPr>
        <w:t xml:space="preserve">% </w:t>
      </w:r>
      <w:r w:rsidR="00A02674">
        <w:rPr>
          <w:rFonts w:ascii="Calibri" w:eastAsia="Calibri" w:hAnsi="Calibri" w:cs="Times New Roman"/>
          <w:sz w:val="24"/>
          <w:szCs w:val="24"/>
        </w:rPr>
        <w:t>δήλωσε</w:t>
      </w:r>
      <w:r w:rsidR="00D61829" w:rsidRPr="00547A9B">
        <w:rPr>
          <w:rFonts w:ascii="Calibri" w:eastAsia="Calibri" w:hAnsi="Calibri" w:cs="Times New Roman"/>
          <w:sz w:val="24"/>
          <w:szCs w:val="24"/>
        </w:rPr>
        <w:t xml:space="preserve"> ότι</w:t>
      </w:r>
      <w:r w:rsidR="00A02674">
        <w:rPr>
          <w:rFonts w:ascii="Calibri" w:eastAsia="Calibri" w:hAnsi="Calibri" w:cs="Times New Roman"/>
          <w:sz w:val="24"/>
          <w:szCs w:val="24"/>
        </w:rPr>
        <w:t xml:space="preserve"> είχε</w:t>
      </w:r>
      <w:r w:rsidR="00D61829" w:rsidRPr="00547A9B">
        <w:rPr>
          <w:rFonts w:ascii="Calibri" w:eastAsia="Calibri" w:hAnsi="Calibri" w:cs="Times New Roman"/>
          <w:sz w:val="24"/>
          <w:szCs w:val="24"/>
        </w:rPr>
        <w:t xml:space="preserve"> μείωση των ρευστών διαθεσ</w:t>
      </w:r>
      <w:r w:rsidR="00A02674">
        <w:rPr>
          <w:rFonts w:ascii="Calibri" w:eastAsia="Calibri" w:hAnsi="Calibri" w:cs="Times New Roman"/>
          <w:sz w:val="24"/>
          <w:szCs w:val="24"/>
        </w:rPr>
        <w:t>ίμων τους και μόνο 22% ότι είχε</w:t>
      </w:r>
      <w:r w:rsidR="00D61829" w:rsidRPr="00547A9B">
        <w:rPr>
          <w:rFonts w:ascii="Calibri" w:eastAsia="Calibri" w:hAnsi="Calibri" w:cs="Times New Roman"/>
          <w:sz w:val="24"/>
          <w:szCs w:val="24"/>
        </w:rPr>
        <w:t xml:space="preserve"> αύξηση. Φαίνεται πως η εκτίναξη του πληθωρισμού πλήττει την ρευστότητα των επιχειρήσεων καθώς προσπαθούν να ανταποκριθούν στις υποχρεώσεις τους και να καλύψουν το αυξημένο κόστος λειτουργίας</w:t>
      </w:r>
      <w:r w:rsidR="00EA4534">
        <w:rPr>
          <w:rFonts w:ascii="Calibri" w:eastAsia="Calibri" w:hAnsi="Calibri" w:cs="Times New Roman"/>
          <w:sz w:val="24"/>
          <w:szCs w:val="24"/>
        </w:rPr>
        <w:t>,</w:t>
      </w:r>
      <w:r w:rsidR="00D61829" w:rsidRPr="00547A9B">
        <w:rPr>
          <w:rFonts w:ascii="Calibri" w:eastAsia="Calibri" w:hAnsi="Calibri" w:cs="Times New Roman"/>
          <w:sz w:val="24"/>
          <w:szCs w:val="24"/>
        </w:rPr>
        <w:t xml:space="preserve"> ενώ παράλληλα </w:t>
      </w:r>
      <w:r w:rsidR="00EA4534">
        <w:rPr>
          <w:rFonts w:ascii="Calibri" w:eastAsia="Calibri" w:hAnsi="Calibri" w:cs="Times New Roman"/>
          <w:sz w:val="24"/>
          <w:szCs w:val="24"/>
        </w:rPr>
        <w:t>καταβάλουν προσπάθεια</w:t>
      </w:r>
      <w:r w:rsidR="00D61829" w:rsidRPr="00547A9B">
        <w:rPr>
          <w:rFonts w:ascii="Calibri" w:eastAsia="Calibri" w:hAnsi="Calibri" w:cs="Times New Roman"/>
          <w:sz w:val="24"/>
          <w:szCs w:val="24"/>
        </w:rPr>
        <w:t xml:space="preserve"> να συγκρατήσουν τις τιμές των προϊόντων και υπηρεσιών τους προκειμένου διατηρήσουν την πελατεία τους.</w:t>
      </w:r>
      <w:r w:rsidR="00F33DBB" w:rsidRPr="00547A9B">
        <w:rPr>
          <w:rFonts w:ascii="Calibri" w:eastAsia="Calibri" w:hAnsi="Calibri" w:cs="Times New Roman"/>
          <w:sz w:val="24"/>
          <w:szCs w:val="24"/>
        </w:rPr>
        <w:t xml:space="preserve"> Η κατάσταση φαίνεται να επιδεινώνεται συστηματικά από την έναρξη της πανδημίας έως σήμερα καθώς οι επιχειρήσεις που δήλωναν ότι είχαν μηδενικά ρευστά διαθέσιμα ή διαθέσιμα που επαρκούσαν έως ένα μήνα άθροιζαν σε 25,5% τον Ιούνιο του 2020, εκτινάχτηκαν σε 34,3% τον Φεβρουάριου του 2021, υπήρξε μία μικρή αποκλιμάκωση του Ιούλιο του 2021 και τον Φεβρουάριου του 2022 (29,1% και 32,9% αντίστοιχα) προφανώς λόγων των μέτρων στήριξης π</w:t>
      </w:r>
      <w:r w:rsidR="00540E4B">
        <w:rPr>
          <w:rFonts w:ascii="Calibri" w:eastAsia="Calibri" w:hAnsi="Calibri" w:cs="Times New Roman"/>
          <w:sz w:val="24"/>
          <w:szCs w:val="24"/>
        </w:rPr>
        <w:t>ου ελήφθησαν από την κυβέρνηση. Μ</w:t>
      </w:r>
      <w:r w:rsidR="00F33DBB" w:rsidRPr="00547A9B">
        <w:rPr>
          <w:rFonts w:ascii="Calibri" w:eastAsia="Calibri" w:hAnsi="Calibri" w:cs="Times New Roman"/>
          <w:sz w:val="24"/>
          <w:szCs w:val="24"/>
        </w:rPr>
        <w:t xml:space="preserve">ετά την έναρξη του πολέμου, το ποσοστό αυτό ανήλθε στο 37,1% τον Ιούλιο του 2022. </w:t>
      </w:r>
    </w:p>
    <w:p w:rsidR="00842180" w:rsidRPr="00842180" w:rsidRDefault="00842180" w:rsidP="00700BFC">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Η μείωση της ρευστότητας των επιχειρήσεων που παρατηρούμε στην έρευνά μας φαίνεται να συμβαδίζει και με τα επίσημα στοιχεία της Τράπεζας της Ελλάδας αφού μετά από συνεχείς αυξήσεις των καταθέσεων μίας ημέρας (ρευστές καταθέσεις) που παρατηρήσαμε κατά τη διάρκεια της πανδημίας, το 1</w:t>
      </w:r>
      <w:r w:rsidRPr="00842180">
        <w:rPr>
          <w:rFonts w:ascii="Calibri" w:eastAsia="Calibri" w:hAnsi="Calibri" w:cs="Times New Roman"/>
          <w:sz w:val="24"/>
          <w:szCs w:val="24"/>
          <w:vertAlign w:val="superscript"/>
        </w:rPr>
        <w:t>ο</w:t>
      </w:r>
      <w:r>
        <w:rPr>
          <w:rFonts w:ascii="Calibri" w:eastAsia="Calibri" w:hAnsi="Calibri" w:cs="Times New Roman"/>
          <w:sz w:val="24"/>
          <w:szCs w:val="24"/>
        </w:rPr>
        <w:t xml:space="preserve"> εξάμηνο του 2022 παρατηρήθηκαν αρνητικές ροές και μία κάμψη στα υπόλοιπα με εξαίρεση τον Ιούνιο προφανώς λόγω της αύξησης των εσόδων από του τουρισμό. </w:t>
      </w:r>
    </w:p>
    <w:p w:rsidR="000667F7" w:rsidRDefault="000667F7" w:rsidP="00700BFC">
      <w:pPr>
        <w:spacing w:after="160" w:line="360" w:lineRule="auto"/>
        <w:jc w:val="both"/>
        <w:rPr>
          <w:rFonts w:ascii="Calibri" w:eastAsia="Calibri" w:hAnsi="Calibri" w:cs="Times New Roman"/>
        </w:rPr>
      </w:pPr>
    </w:p>
    <w:p w:rsidR="00D96505" w:rsidRPr="000667F7" w:rsidRDefault="00FA002C" w:rsidP="00700BFC">
      <w:pPr>
        <w:spacing w:after="160" w:line="360" w:lineRule="auto"/>
        <w:jc w:val="both"/>
        <w:rPr>
          <w:rFonts w:ascii="Calibri" w:eastAsia="Calibri" w:hAnsi="Calibri" w:cs="Times New Roman"/>
        </w:rPr>
      </w:pPr>
      <w:r>
        <w:rPr>
          <w:noProof/>
        </w:rPr>
        <w:lastRenderedPageBreak/>
        <w:drawing>
          <wp:inline distT="0" distB="0" distL="0" distR="0" wp14:anchorId="695CE78F" wp14:editId="2C2C4A3E">
            <wp:extent cx="6530340" cy="2453640"/>
            <wp:effectExtent l="0" t="0" r="22860" b="22860"/>
            <wp:docPr id="36" name="Γράφημα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73A1" w:rsidRDefault="00FA002C" w:rsidP="00700BFC">
      <w:pPr>
        <w:spacing w:after="0" w:line="360" w:lineRule="auto"/>
        <w:jc w:val="both"/>
        <w:rPr>
          <w:rFonts w:ascii="Calibri" w:eastAsia="Calibri" w:hAnsi="Calibri" w:cs="Times New Roman"/>
          <w:sz w:val="24"/>
          <w:szCs w:val="24"/>
        </w:rPr>
      </w:pPr>
      <w:r w:rsidRPr="00547A9B">
        <w:rPr>
          <w:rFonts w:ascii="Calibri" w:eastAsia="Calibri" w:hAnsi="Calibri" w:cs="Times New Roman"/>
          <w:sz w:val="24"/>
          <w:szCs w:val="24"/>
        </w:rPr>
        <w:t xml:space="preserve">Σε κλαδικό επίπεδο τη μεγαλύτερη μείωση ρευστότητας αντιμετώπισε ο κλάδος του εμπορίου (58,5% των επιχειρήσεων του κλάδου </w:t>
      </w:r>
      <w:r w:rsidR="00540E4B">
        <w:rPr>
          <w:rFonts w:ascii="Calibri" w:eastAsia="Calibri" w:hAnsi="Calibri" w:cs="Times New Roman"/>
          <w:sz w:val="24"/>
          <w:szCs w:val="24"/>
        </w:rPr>
        <w:t>δήλωσε</w:t>
      </w:r>
      <w:r w:rsidRPr="00547A9B">
        <w:rPr>
          <w:rFonts w:ascii="Calibri" w:eastAsia="Calibri" w:hAnsi="Calibri" w:cs="Times New Roman"/>
          <w:sz w:val="24"/>
          <w:szCs w:val="24"/>
        </w:rPr>
        <w:t xml:space="preserve"> μείωση ρευστότητας) ενώ στους κλάδους των υπηρεσιών και της μεταποίησης οι επιχειρήσεις που δήλωσαν μείωση ήταν 49,2% για κάθε κλάδο αντίστοιχα. Ο </w:t>
      </w:r>
      <w:proofErr w:type="spellStart"/>
      <w:r w:rsidRPr="00547A9B">
        <w:rPr>
          <w:rFonts w:ascii="Calibri" w:eastAsia="Calibri" w:hAnsi="Calibri" w:cs="Times New Roman"/>
          <w:sz w:val="24"/>
          <w:szCs w:val="24"/>
        </w:rPr>
        <w:t>υποκλάδος</w:t>
      </w:r>
      <w:proofErr w:type="spellEnd"/>
      <w:r w:rsidRPr="00547A9B">
        <w:rPr>
          <w:rFonts w:ascii="Calibri" w:eastAsia="Calibri" w:hAnsi="Calibri" w:cs="Times New Roman"/>
          <w:sz w:val="24"/>
          <w:szCs w:val="24"/>
        </w:rPr>
        <w:t xml:space="preserve"> της εστίασης φαίνεται να έχει δεχθεί το μεγαλύτερο πλήγμα καθώς </w:t>
      </w:r>
      <w:r w:rsidR="00540E4B">
        <w:rPr>
          <w:rFonts w:ascii="Calibri" w:eastAsia="Calibri" w:hAnsi="Calibri" w:cs="Times New Roman"/>
          <w:sz w:val="24"/>
          <w:szCs w:val="24"/>
        </w:rPr>
        <w:t xml:space="preserve">το </w:t>
      </w:r>
      <w:r w:rsidRPr="00547A9B">
        <w:rPr>
          <w:rFonts w:ascii="Calibri" w:eastAsia="Calibri" w:hAnsi="Calibri" w:cs="Times New Roman"/>
          <w:sz w:val="24"/>
          <w:szCs w:val="24"/>
        </w:rPr>
        <w:t>61,6% των επιχειρήσεων δήλω</w:t>
      </w:r>
      <w:r w:rsidR="00540E4B">
        <w:rPr>
          <w:rFonts w:ascii="Calibri" w:eastAsia="Calibri" w:hAnsi="Calibri" w:cs="Times New Roman"/>
          <w:sz w:val="24"/>
          <w:szCs w:val="24"/>
        </w:rPr>
        <w:t>σε μείωση των</w:t>
      </w:r>
      <w:r w:rsidRPr="00547A9B">
        <w:rPr>
          <w:rFonts w:ascii="Calibri" w:eastAsia="Calibri" w:hAnsi="Calibri" w:cs="Times New Roman"/>
          <w:sz w:val="24"/>
          <w:szCs w:val="24"/>
        </w:rPr>
        <w:t xml:space="preserve"> ρευστών διαθεσίμων</w:t>
      </w:r>
      <w:r>
        <w:rPr>
          <w:rFonts w:ascii="Calibri" w:eastAsia="Calibri" w:hAnsi="Calibri" w:cs="Times New Roman"/>
          <w:sz w:val="24"/>
          <w:szCs w:val="24"/>
        </w:rPr>
        <w:t>.</w:t>
      </w:r>
      <w:r w:rsidRPr="00547A9B">
        <w:rPr>
          <w:rFonts w:ascii="Calibri" w:eastAsia="Calibri" w:hAnsi="Calibri" w:cs="Times New Roman"/>
          <w:sz w:val="24"/>
          <w:szCs w:val="24"/>
        </w:rPr>
        <w:t xml:space="preserve"> Οι μεγαλύτερες επιχειρήσεις φαίνεται να αντιμετωπίζουν μικρότερα αλλά όχι αμελητέα προβλήματα ρευστότητας σε σχέση με τις μικρότερες επιχειρήσεις. Σε αυτή τη δύσκολη συγκυρία</w:t>
      </w:r>
      <w:r w:rsidR="00A02674">
        <w:rPr>
          <w:rFonts w:ascii="Calibri" w:eastAsia="Calibri" w:hAnsi="Calibri" w:cs="Times New Roman"/>
          <w:sz w:val="24"/>
          <w:szCs w:val="24"/>
        </w:rPr>
        <w:t>,</w:t>
      </w:r>
      <w:r w:rsidRPr="00547A9B">
        <w:rPr>
          <w:rFonts w:ascii="Calibri" w:eastAsia="Calibri" w:hAnsi="Calibri" w:cs="Times New Roman"/>
          <w:sz w:val="24"/>
          <w:szCs w:val="24"/>
        </w:rPr>
        <w:t xml:space="preserve"> εξαίρεση αποτελούν οι επιχειρήσεις που είναι εγκαταστημένες στην Κρήτη και τα Νησιά του Αιγαίου, αφού σημείωσαν το μικρότερο ποσοστό πανελλαδικά (32,7%)  αυτών που δήλωσαν μείωση της ρευστότητας</w:t>
      </w:r>
      <w:r>
        <w:rPr>
          <w:rFonts w:ascii="Calibri" w:eastAsia="Calibri" w:hAnsi="Calibri" w:cs="Times New Roman"/>
          <w:sz w:val="24"/>
          <w:szCs w:val="24"/>
        </w:rPr>
        <w:t>,</w:t>
      </w:r>
      <w:r w:rsidRPr="00547A9B">
        <w:rPr>
          <w:rFonts w:ascii="Calibri" w:eastAsia="Calibri" w:hAnsi="Calibri" w:cs="Times New Roman"/>
          <w:sz w:val="24"/>
          <w:szCs w:val="24"/>
        </w:rPr>
        <w:t xml:space="preserve"> ενώ ήταν η μοναδική γεωγραφική περιοχή στην οποία οι επιχειρήσεις που δήλωσαν αύξηση της ρευστότητας (36,5%) ήταν περισσότερες από αυτές που δήλωσ</w:t>
      </w:r>
      <w:r w:rsidR="007A04DD">
        <w:rPr>
          <w:rFonts w:ascii="Calibri" w:eastAsia="Calibri" w:hAnsi="Calibri" w:cs="Times New Roman"/>
          <w:sz w:val="24"/>
          <w:szCs w:val="24"/>
        </w:rPr>
        <w:t xml:space="preserve">αν μείωση (32,7%) αντίστοιχα.  </w:t>
      </w:r>
    </w:p>
    <w:tbl>
      <w:tblPr>
        <w:tblW w:w="5000" w:type="pct"/>
        <w:tblLook w:val="04A0" w:firstRow="1" w:lastRow="0" w:firstColumn="1" w:lastColumn="0" w:noHBand="0" w:noVBand="1"/>
      </w:tblPr>
      <w:tblGrid>
        <w:gridCol w:w="1132"/>
        <w:gridCol w:w="1225"/>
        <w:gridCol w:w="1201"/>
        <w:gridCol w:w="1023"/>
        <w:gridCol w:w="951"/>
        <w:gridCol w:w="974"/>
        <w:gridCol w:w="983"/>
        <w:gridCol w:w="1015"/>
        <w:gridCol w:w="1011"/>
        <w:gridCol w:w="1190"/>
      </w:tblGrid>
      <w:tr w:rsidR="009073A1" w:rsidRPr="009073A1" w:rsidTr="007A04DD">
        <w:trPr>
          <w:trHeight w:val="772"/>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rsidR="009073A1" w:rsidRDefault="00E70A64" w:rsidP="00700BFC">
            <w:pPr>
              <w:spacing w:after="0"/>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4</w:t>
            </w:r>
          </w:p>
          <w:p w:rsidR="009073A1" w:rsidRPr="009073A1" w:rsidRDefault="009073A1" w:rsidP="00700BFC">
            <w:pPr>
              <w:spacing w:after="0"/>
              <w:jc w:val="center"/>
              <w:rPr>
                <w:rFonts w:ascii="Calibri" w:eastAsia="Times New Roman" w:hAnsi="Calibri" w:cs="Calibri"/>
                <w:b/>
                <w:bCs/>
                <w:color w:val="000000"/>
                <w:sz w:val="24"/>
                <w:szCs w:val="24"/>
              </w:rPr>
            </w:pPr>
            <w:r w:rsidRPr="009073A1">
              <w:rPr>
                <w:rFonts w:ascii="Calibri" w:eastAsia="Times New Roman" w:hAnsi="Calibri" w:cs="Calibri"/>
                <w:b/>
                <w:bCs/>
                <w:color w:val="000000"/>
                <w:sz w:val="24"/>
                <w:szCs w:val="24"/>
              </w:rPr>
              <w:t>ΡΕΥΣΤΟΤΗΤΑ ΠΡΩΤΟΥ ΕΞΑΜΗΝΟΥ 2022 ΑΝΑ ΚΑΤΗΓΟΡΙΑ</w:t>
            </w:r>
            <w:r w:rsidR="00A02674">
              <w:rPr>
                <w:rFonts w:ascii="Calibri" w:eastAsia="Times New Roman" w:hAnsi="Calibri" w:cs="Calibri"/>
                <w:b/>
                <w:bCs/>
                <w:color w:val="000000"/>
                <w:sz w:val="24"/>
                <w:szCs w:val="24"/>
              </w:rPr>
              <w:t xml:space="preserve"> ΕΠΙΧΕΙΡΗΣΕΩΝ</w:t>
            </w:r>
          </w:p>
        </w:tc>
      </w:tr>
      <w:tr w:rsidR="009073A1" w:rsidRPr="009073A1" w:rsidTr="009073A1">
        <w:trPr>
          <w:trHeight w:val="300"/>
        </w:trPr>
        <w:tc>
          <w:tcPr>
            <w:tcW w:w="529"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 </w:t>
            </w:r>
          </w:p>
        </w:tc>
        <w:tc>
          <w:tcPr>
            <w:tcW w:w="1611" w:type="pct"/>
            <w:gridSpan w:val="3"/>
            <w:tcBorders>
              <w:top w:val="single" w:sz="4" w:space="0" w:color="auto"/>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ΚΛΑΔΟΣ</w:t>
            </w:r>
          </w:p>
        </w:tc>
        <w:tc>
          <w:tcPr>
            <w:tcW w:w="2860" w:type="pct"/>
            <w:gridSpan w:val="6"/>
            <w:tcBorders>
              <w:top w:val="single" w:sz="4" w:space="0" w:color="auto"/>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 xml:space="preserve">ΕΤΗΣΙΟΣ ΚΥΚΛΟΣ ΕΡΓΑΣΙΩΝ </w:t>
            </w:r>
          </w:p>
        </w:tc>
      </w:tr>
      <w:tr w:rsidR="009073A1" w:rsidRPr="009073A1" w:rsidTr="009073A1">
        <w:trPr>
          <w:trHeight w:val="600"/>
        </w:trPr>
        <w:tc>
          <w:tcPr>
            <w:tcW w:w="529" w:type="pct"/>
            <w:vMerge/>
            <w:tcBorders>
              <w:top w:val="nil"/>
              <w:left w:val="single" w:sz="4" w:space="0" w:color="auto"/>
              <w:bottom w:val="single" w:sz="4" w:space="0" w:color="000000"/>
              <w:right w:val="single" w:sz="4" w:space="0" w:color="auto"/>
            </w:tcBorders>
            <w:vAlign w:val="center"/>
            <w:hideMark/>
          </w:tcPr>
          <w:p w:rsidR="009073A1" w:rsidRPr="009073A1" w:rsidRDefault="009073A1" w:rsidP="00700BFC">
            <w:pPr>
              <w:spacing w:after="0" w:line="360" w:lineRule="auto"/>
              <w:rPr>
                <w:rFonts w:ascii="Calibri" w:eastAsia="Times New Roman" w:hAnsi="Calibri" w:cs="Calibri"/>
                <w:b/>
                <w:bCs/>
                <w:color w:val="000000"/>
                <w:sz w:val="16"/>
                <w:szCs w:val="16"/>
              </w:rPr>
            </w:pPr>
          </w:p>
        </w:tc>
        <w:tc>
          <w:tcPr>
            <w:tcW w:w="572"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Εμπόριο</w:t>
            </w:r>
          </w:p>
        </w:tc>
        <w:tc>
          <w:tcPr>
            <w:tcW w:w="561"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Μεταποίηση</w:t>
            </w:r>
          </w:p>
        </w:tc>
        <w:tc>
          <w:tcPr>
            <w:tcW w:w="478"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Υπηρεσίες</w:t>
            </w:r>
          </w:p>
        </w:tc>
        <w:tc>
          <w:tcPr>
            <w:tcW w:w="444" w:type="pct"/>
            <w:tcBorders>
              <w:top w:val="nil"/>
              <w:left w:val="nil"/>
              <w:bottom w:val="single" w:sz="4" w:space="0" w:color="auto"/>
              <w:right w:val="single" w:sz="4" w:space="0" w:color="auto"/>
            </w:tcBorders>
            <w:shd w:val="clear" w:color="D9E1F2" w:fill="D9E1F2"/>
            <w:vAlign w:val="bottom"/>
            <w:hideMark/>
          </w:tcPr>
          <w:p w:rsidR="009073A1" w:rsidRPr="009073A1"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009073A1" w:rsidRPr="009073A1">
              <w:rPr>
                <w:rFonts w:ascii="Calibri" w:eastAsia="Times New Roman" w:hAnsi="Calibri" w:cs="Calibri"/>
                <w:b/>
                <w:bCs/>
                <w:color w:val="000000"/>
                <w:sz w:val="16"/>
                <w:szCs w:val="16"/>
              </w:rPr>
              <w:t xml:space="preserve"> 50.000 €</w:t>
            </w:r>
          </w:p>
        </w:tc>
        <w:tc>
          <w:tcPr>
            <w:tcW w:w="455"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50.000 - 100.000 €</w:t>
            </w:r>
          </w:p>
        </w:tc>
        <w:tc>
          <w:tcPr>
            <w:tcW w:w="459"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100.001 - 300.000 €</w:t>
            </w:r>
          </w:p>
        </w:tc>
        <w:tc>
          <w:tcPr>
            <w:tcW w:w="474"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300.001 - 500.000 €</w:t>
            </w:r>
          </w:p>
        </w:tc>
        <w:tc>
          <w:tcPr>
            <w:tcW w:w="472"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500.001 - 1.000.000 €</w:t>
            </w:r>
          </w:p>
        </w:tc>
        <w:tc>
          <w:tcPr>
            <w:tcW w:w="556"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Πάνω από 1.000.000 €</w:t>
            </w:r>
          </w:p>
        </w:tc>
      </w:tr>
      <w:tr w:rsidR="009073A1" w:rsidRPr="009073A1"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Αυξήθηκε</w:t>
            </w:r>
          </w:p>
        </w:tc>
        <w:tc>
          <w:tcPr>
            <w:tcW w:w="5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16,1%</w:t>
            </w:r>
          </w:p>
        </w:tc>
        <w:tc>
          <w:tcPr>
            <w:tcW w:w="561"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23,8%</w:t>
            </w:r>
          </w:p>
        </w:tc>
        <w:tc>
          <w:tcPr>
            <w:tcW w:w="478"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26,5%</w:t>
            </w:r>
          </w:p>
        </w:tc>
        <w:tc>
          <w:tcPr>
            <w:tcW w:w="44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18,5%</w:t>
            </w:r>
          </w:p>
        </w:tc>
        <w:tc>
          <w:tcPr>
            <w:tcW w:w="455"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25,4%</w:t>
            </w:r>
          </w:p>
        </w:tc>
        <w:tc>
          <w:tcPr>
            <w:tcW w:w="459"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22,5%</w:t>
            </w:r>
          </w:p>
        </w:tc>
        <w:tc>
          <w:tcPr>
            <w:tcW w:w="47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33,3%</w:t>
            </w:r>
          </w:p>
        </w:tc>
        <w:tc>
          <w:tcPr>
            <w:tcW w:w="4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30,3%</w:t>
            </w:r>
          </w:p>
        </w:tc>
        <w:tc>
          <w:tcPr>
            <w:tcW w:w="556"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25,7%</w:t>
            </w:r>
          </w:p>
        </w:tc>
      </w:tr>
      <w:tr w:rsidR="009073A1" w:rsidRPr="009073A1"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Αμετάβλητη</w:t>
            </w:r>
          </w:p>
        </w:tc>
        <w:tc>
          <w:tcPr>
            <w:tcW w:w="5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24,7%</w:t>
            </w:r>
          </w:p>
        </w:tc>
        <w:tc>
          <w:tcPr>
            <w:tcW w:w="561"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26,9%</w:t>
            </w:r>
          </w:p>
        </w:tc>
        <w:tc>
          <w:tcPr>
            <w:tcW w:w="478"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23,6%</w:t>
            </w:r>
          </w:p>
        </w:tc>
        <w:tc>
          <w:tcPr>
            <w:tcW w:w="44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21,8%</w:t>
            </w:r>
          </w:p>
        </w:tc>
        <w:tc>
          <w:tcPr>
            <w:tcW w:w="455"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25,4%</w:t>
            </w:r>
          </w:p>
        </w:tc>
        <w:tc>
          <w:tcPr>
            <w:tcW w:w="459"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29,0%</w:t>
            </w:r>
          </w:p>
        </w:tc>
        <w:tc>
          <w:tcPr>
            <w:tcW w:w="47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25,0%</w:t>
            </w:r>
          </w:p>
        </w:tc>
        <w:tc>
          <w:tcPr>
            <w:tcW w:w="4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24,2%</w:t>
            </w:r>
          </w:p>
        </w:tc>
        <w:tc>
          <w:tcPr>
            <w:tcW w:w="556"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25,7%</w:t>
            </w:r>
          </w:p>
        </w:tc>
      </w:tr>
      <w:tr w:rsidR="009073A1" w:rsidRPr="009073A1"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Μειώθηκε</w:t>
            </w:r>
          </w:p>
        </w:tc>
        <w:tc>
          <w:tcPr>
            <w:tcW w:w="5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58,5%</w:t>
            </w:r>
          </w:p>
        </w:tc>
        <w:tc>
          <w:tcPr>
            <w:tcW w:w="561"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49,2%</w:t>
            </w:r>
          </w:p>
        </w:tc>
        <w:tc>
          <w:tcPr>
            <w:tcW w:w="478"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49,2%</w:t>
            </w:r>
          </w:p>
        </w:tc>
        <w:tc>
          <w:tcPr>
            <w:tcW w:w="44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59,7%</w:t>
            </w:r>
          </w:p>
        </w:tc>
        <w:tc>
          <w:tcPr>
            <w:tcW w:w="455"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49,3%</w:t>
            </w:r>
          </w:p>
        </w:tc>
        <w:tc>
          <w:tcPr>
            <w:tcW w:w="459"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47,8%</w:t>
            </w:r>
          </w:p>
        </w:tc>
        <w:tc>
          <w:tcPr>
            <w:tcW w:w="47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41,7%</w:t>
            </w:r>
          </w:p>
        </w:tc>
        <w:tc>
          <w:tcPr>
            <w:tcW w:w="4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45,5%</w:t>
            </w:r>
          </w:p>
        </w:tc>
        <w:tc>
          <w:tcPr>
            <w:tcW w:w="556"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48,6%</w:t>
            </w:r>
          </w:p>
        </w:tc>
      </w:tr>
      <w:tr w:rsidR="009073A1" w:rsidRPr="009073A1" w:rsidTr="009073A1">
        <w:trPr>
          <w:trHeight w:val="289"/>
        </w:trPr>
        <w:tc>
          <w:tcPr>
            <w:tcW w:w="529"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 </w:t>
            </w:r>
          </w:p>
        </w:tc>
        <w:tc>
          <w:tcPr>
            <w:tcW w:w="2055" w:type="pct"/>
            <w:gridSpan w:val="4"/>
            <w:tcBorders>
              <w:top w:val="single" w:sz="4" w:space="0" w:color="auto"/>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ΑΡΙΘΜΟΣ ΕΡΓΑΖΟΜΕΝΩΝ</w:t>
            </w:r>
          </w:p>
        </w:tc>
        <w:tc>
          <w:tcPr>
            <w:tcW w:w="1860" w:type="pct"/>
            <w:gridSpan w:val="4"/>
            <w:tcBorders>
              <w:top w:val="single" w:sz="4" w:space="0" w:color="auto"/>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ΓΕΩΓΡΑΦΙΚΗ ΠΕΡΙΟΧΗ</w:t>
            </w:r>
          </w:p>
        </w:tc>
        <w:tc>
          <w:tcPr>
            <w:tcW w:w="556"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ΥΠΟΚΛΑΔΟΣ</w:t>
            </w:r>
          </w:p>
        </w:tc>
      </w:tr>
      <w:tr w:rsidR="009073A1" w:rsidRPr="009073A1" w:rsidTr="009073A1">
        <w:trPr>
          <w:trHeight w:val="900"/>
        </w:trPr>
        <w:tc>
          <w:tcPr>
            <w:tcW w:w="529" w:type="pct"/>
            <w:vMerge/>
            <w:tcBorders>
              <w:top w:val="nil"/>
              <w:left w:val="single" w:sz="4" w:space="0" w:color="auto"/>
              <w:bottom w:val="single" w:sz="4" w:space="0" w:color="000000"/>
              <w:right w:val="single" w:sz="4" w:space="0" w:color="auto"/>
            </w:tcBorders>
            <w:vAlign w:val="center"/>
            <w:hideMark/>
          </w:tcPr>
          <w:p w:rsidR="009073A1" w:rsidRPr="009073A1" w:rsidRDefault="009073A1" w:rsidP="00700BFC">
            <w:pPr>
              <w:spacing w:after="0" w:line="360" w:lineRule="auto"/>
              <w:rPr>
                <w:rFonts w:ascii="Calibri" w:eastAsia="Times New Roman" w:hAnsi="Calibri" w:cs="Calibri"/>
                <w:b/>
                <w:bCs/>
                <w:color w:val="000000"/>
                <w:sz w:val="16"/>
                <w:szCs w:val="16"/>
              </w:rPr>
            </w:pPr>
          </w:p>
        </w:tc>
        <w:tc>
          <w:tcPr>
            <w:tcW w:w="572"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Χωρίς προσωπικό</w:t>
            </w:r>
          </w:p>
        </w:tc>
        <w:tc>
          <w:tcPr>
            <w:tcW w:w="561"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1 έως 4</w:t>
            </w:r>
          </w:p>
        </w:tc>
        <w:tc>
          <w:tcPr>
            <w:tcW w:w="478"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5 έως 9</w:t>
            </w:r>
          </w:p>
        </w:tc>
        <w:tc>
          <w:tcPr>
            <w:tcW w:w="444"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10 έως 49</w:t>
            </w:r>
          </w:p>
        </w:tc>
        <w:tc>
          <w:tcPr>
            <w:tcW w:w="455"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EL3 ΑΤΤΙΚΗ</w:t>
            </w:r>
          </w:p>
        </w:tc>
        <w:tc>
          <w:tcPr>
            <w:tcW w:w="459"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EL5 ΒΟΡΕΙΑ ΕΛΛΑΔΑ</w:t>
            </w:r>
          </w:p>
        </w:tc>
        <w:tc>
          <w:tcPr>
            <w:tcW w:w="474"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EL6 ΚΕΝΤΡΙΚΗ ΕΛΛΑΔΑ</w:t>
            </w:r>
          </w:p>
        </w:tc>
        <w:tc>
          <w:tcPr>
            <w:tcW w:w="472"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EL4 ΝΗΣΙΑ ΑΙΓΑΙΟΥ &amp; ΚΡΗΤΗ</w:t>
            </w:r>
          </w:p>
        </w:tc>
        <w:tc>
          <w:tcPr>
            <w:tcW w:w="556" w:type="pct"/>
            <w:tcBorders>
              <w:top w:val="nil"/>
              <w:left w:val="nil"/>
              <w:bottom w:val="single" w:sz="4" w:space="0" w:color="auto"/>
              <w:right w:val="single" w:sz="4" w:space="0" w:color="auto"/>
            </w:tcBorders>
            <w:shd w:val="clear" w:color="D9E1F2" w:fill="D9E1F2"/>
            <w:vAlign w:val="bottom"/>
            <w:hideMark/>
          </w:tcPr>
          <w:p w:rsidR="009073A1" w:rsidRPr="009073A1" w:rsidRDefault="009073A1" w:rsidP="00700BFC">
            <w:pPr>
              <w:spacing w:after="0" w:line="360" w:lineRule="auto"/>
              <w:jc w:val="center"/>
              <w:rPr>
                <w:rFonts w:ascii="Calibri" w:eastAsia="Times New Roman" w:hAnsi="Calibri" w:cs="Calibri"/>
                <w:b/>
                <w:bCs/>
                <w:color w:val="000000"/>
                <w:sz w:val="16"/>
                <w:szCs w:val="16"/>
              </w:rPr>
            </w:pPr>
            <w:r w:rsidRPr="009073A1">
              <w:rPr>
                <w:rFonts w:ascii="Calibri" w:eastAsia="Times New Roman" w:hAnsi="Calibri" w:cs="Calibri"/>
                <w:b/>
                <w:bCs/>
                <w:color w:val="000000"/>
                <w:sz w:val="16"/>
                <w:szCs w:val="16"/>
              </w:rPr>
              <w:t>Εστίαση</w:t>
            </w:r>
          </w:p>
        </w:tc>
      </w:tr>
      <w:tr w:rsidR="009073A1" w:rsidRPr="009073A1"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Αυξήθηκε</w:t>
            </w:r>
          </w:p>
        </w:tc>
        <w:tc>
          <w:tcPr>
            <w:tcW w:w="5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16,2%</w:t>
            </w:r>
          </w:p>
        </w:tc>
        <w:tc>
          <w:tcPr>
            <w:tcW w:w="561"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22,0%</w:t>
            </w:r>
          </w:p>
        </w:tc>
        <w:tc>
          <w:tcPr>
            <w:tcW w:w="478"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27,7%</w:t>
            </w:r>
          </w:p>
        </w:tc>
        <w:tc>
          <w:tcPr>
            <w:tcW w:w="44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36,5%</w:t>
            </w:r>
          </w:p>
        </w:tc>
        <w:tc>
          <w:tcPr>
            <w:tcW w:w="455"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22,3%</w:t>
            </w:r>
          </w:p>
        </w:tc>
        <w:tc>
          <w:tcPr>
            <w:tcW w:w="459"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18,4%</w:t>
            </w:r>
          </w:p>
        </w:tc>
        <w:tc>
          <w:tcPr>
            <w:tcW w:w="47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17,5%</w:t>
            </w:r>
          </w:p>
        </w:tc>
        <w:tc>
          <w:tcPr>
            <w:tcW w:w="4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36,5%</w:t>
            </w:r>
          </w:p>
        </w:tc>
        <w:tc>
          <w:tcPr>
            <w:tcW w:w="556"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15,1%</w:t>
            </w:r>
          </w:p>
        </w:tc>
      </w:tr>
      <w:tr w:rsidR="009073A1" w:rsidRPr="009073A1"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Αμετάβλητη</w:t>
            </w:r>
          </w:p>
        </w:tc>
        <w:tc>
          <w:tcPr>
            <w:tcW w:w="5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21,6%</w:t>
            </w:r>
          </w:p>
        </w:tc>
        <w:tc>
          <w:tcPr>
            <w:tcW w:w="561"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25,3%</w:t>
            </w:r>
          </w:p>
        </w:tc>
        <w:tc>
          <w:tcPr>
            <w:tcW w:w="478"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31,7%</w:t>
            </w:r>
          </w:p>
        </w:tc>
        <w:tc>
          <w:tcPr>
            <w:tcW w:w="44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28,8%</w:t>
            </w:r>
          </w:p>
        </w:tc>
        <w:tc>
          <w:tcPr>
            <w:tcW w:w="455"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23,7%</w:t>
            </w:r>
          </w:p>
        </w:tc>
        <w:tc>
          <w:tcPr>
            <w:tcW w:w="459"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25,3%</w:t>
            </w:r>
          </w:p>
        </w:tc>
        <w:tc>
          <w:tcPr>
            <w:tcW w:w="47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23,3%</w:t>
            </w:r>
          </w:p>
        </w:tc>
        <w:tc>
          <w:tcPr>
            <w:tcW w:w="4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29,8%</w:t>
            </w:r>
          </w:p>
        </w:tc>
        <w:tc>
          <w:tcPr>
            <w:tcW w:w="556"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23,3%</w:t>
            </w:r>
          </w:p>
        </w:tc>
      </w:tr>
      <w:tr w:rsidR="009073A1" w:rsidRPr="009073A1" w:rsidTr="009073A1">
        <w:trPr>
          <w:trHeight w:val="300"/>
        </w:trPr>
        <w:tc>
          <w:tcPr>
            <w:tcW w:w="529" w:type="pct"/>
            <w:tcBorders>
              <w:top w:val="nil"/>
              <w:left w:val="single" w:sz="4" w:space="0" w:color="auto"/>
              <w:bottom w:val="single" w:sz="4" w:space="0" w:color="auto"/>
              <w:right w:val="single" w:sz="4" w:space="0" w:color="auto"/>
            </w:tcBorders>
            <w:shd w:val="clear" w:color="auto" w:fill="auto"/>
            <w:noWrap/>
            <w:vAlign w:val="bottom"/>
            <w:hideMark/>
          </w:tcPr>
          <w:p w:rsidR="009073A1" w:rsidRPr="009073A1" w:rsidRDefault="009073A1" w:rsidP="00700BFC">
            <w:pPr>
              <w:spacing w:after="0" w:line="360" w:lineRule="auto"/>
              <w:rPr>
                <w:rFonts w:ascii="Calibri" w:eastAsia="Times New Roman" w:hAnsi="Calibri" w:cs="Calibri"/>
                <w:color w:val="000000"/>
                <w:sz w:val="16"/>
                <w:szCs w:val="16"/>
              </w:rPr>
            </w:pPr>
            <w:r w:rsidRPr="009073A1">
              <w:rPr>
                <w:rFonts w:ascii="Calibri" w:eastAsia="Times New Roman" w:hAnsi="Calibri" w:cs="Calibri"/>
                <w:color w:val="000000"/>
                <w:sz w:val="16"/>
                <w:szCs w:val="16"/>
              </w:rPr>
              <w:t>Μειώθηκε</w:t>
            </w:r>
          </w:p>
        </w:tc>
        <w:tc>
          <w:tcPr>
            <w:tcW w:w="5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61,5%</w:t>
            </w:r>
          </w:p>
        </w:tc>
        <w:tc>
          <w:tcPr>
            <w:tcW w:w="561"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52,3%</w:t>
            </w:r>
          </w:p>
        </w:tc>
        <w:tc>
          <w:tcPr>
            <w:tcW w:w="478"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39,6%</w:t>
            </w:r>
          </w:p>
        </w:tc>
        <w:tc>
          <w:tcPr>
            <w:tcW w:w="44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34,6%</w:t>
            </w:r>
          </w:p>
        </w:tc>
        <w:tc>
          <w:tcPr>
            <w:tcW w:w="455"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53,3%</w:t>
            </w:r>
          </w:p>
        </w:tc>
        <w:tc>
          <w:tcPr>
            <w:tcW w:w="459"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55,8%</w:t>
            </w:r>
          </w:p>
        </w:tc>
        <w:tc>
          <w:tcPr>
            <w:tcW w:w="474"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59,3%</w:t>
            </w:r>
          </w:p>
        </w:tc>
        <w:tc>
          <w:tcPr>
            <w:tcW w:w="472"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32,7%</w:t>
            </w:r>
          </w:p>
        </w:tc>
        <w:tc>
          <w:tcPr>
            <w:tcW w:w="556" w:type="pct"/>
            <w:tcBorders>
              <w:top w:val="nil"/>
              <w:left w:val="nil"/>
              <w:bottom w:val="single" w:sz="4" w:space="0" w:color="auto"/>
              <w:right w:val="single" w:sz="4" w:space="0" w:color="auto"/>
            </w:tcBorders>
            <w:shd w:val="clear" w:color="auto" w:fill="auto"/>
            <w:vAlign w:val="bottom"/>
            <w:hideMark/>
          </w:tcPr>
          <w:p w:rsidR="009073A1" w:rsidRPr="009073A1" w:rsidRDefault="009073A1" w:rsidP="00700BFC">
            <w:pPr>
              <w:spacing w:after="0" w:line="360" w:lineRule="auto"/>
              <w:jc w:val="center"/>
              <w:rPr>
                <w:rFonts w:ascii="Calibri" w:eastAsia="Times New Roman" w:hAnsi="Calibri" w:cs="Calibri"/>
                <w:color w:val="000000"/>
                <w:sz w:val="16"/>
                <w:szCs w:val="16"/>
              </w:rPr>
            </w:pPr>
            <w:r w:rsidRPr="009073A1">
              <w:rPr>
                <w:rFonts w:ascii="Calibri" w:eastAsia="Times New Roman" w:hAnsi="Calibri" w:cs="Calibri"/>
                <w:color w:val="000000"/>
                <w:sz w:val="16"/>
                <w:szCs w:val="16"/>
              </w:rPr>
              <w:t>61,6%</w:t>
            </w:r>
          </w:p>
        </w:tc>
      </w:tr>
    </w:tbl>
    <w:p w:rsidR="003B427B" w:rsidRPr="006F0645" w:rsidRDefault="003B427B" w:rsidP="00700BFC">
      <w:pPr>
        <w:spacing w:line="360" w:lineRule="auto"/>
        <w:jc w:val="both"/>
      </w:pPr>
    </w:p>
    <w:p w:rsidR="000F2966" w:rsidRDefault="00FA002C" w:rsidP="00700BFC">
      <w:pPr>
        <w:spacing w:line="360" w:lineRule="auto"/>
        <w:jc w:val="both"/>
      </w:pPr>
      <w:r>
        <w:rPr>
          <w:noProof/>
        </w:rPr>
        <w:drawing>
          <wp:inline distT="0" distB="0" distL="0" distR="0" wp14:anchorId="3A28F894" wp14:editId="50D50741">
            <wp:extent cx="6660515" cy="5257800"/>
            <wp:effectExtent l="0" t="0" r="26035" b="19050"/>
            <wp:docPr id="38" name="Γράφημα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0420" w:rsidRPr="00547A9B" w:rsidRDefault="00D14DA6" w:rsidP="00700BFC">
      <w:pPr>
        <w:spacing w:after="0" w:line="360" w:lineRule="auto"/>
        <w:jc w:val="both"/>
        <w:rPr>
          <w:sz w:val="24"/>
          <w:szCs w:val="24"/>
        </w:rPr>
      </w:pPr>
      <w:r w:rsidRPr="00547A9B">
        <w:rPr>
          <w:sz w:val="24"/>
          <w:szCs w:val="24"/>
        </w:rPr>
        <w:t xml:space="preserve">Σε κλαδικό επίπεδο δεν φαίνεται να υπάρχουν σημαντικές διαφοροποιήσεις ως προς της ρευστότητα των </w:t>
      </w:r>
      <w:r w:rsidR="00547A9B" w:rsidRPr="00547A9B">
        <w:rPr>
          <w:sz w:val="24"/>
          <w:szCs w:val="24"/>
        </w:rPr>
        <w:t xml:space="preserve">επιχειρήσεων. Διαφοροποιήσεις </w:t>
      </w:r>
      <w:r w:rsidR="00540E4B">
        <w:rPr>
          <w:sz w:val="24"/>
          <w:szCs w:val="24"/>
        </w:rPr>
        <w:t>όμως,</w:t>
      </w:r>
      <w:r w:rsidR="00547A9B" w:rsidRPr="00547A9B">
        <w:rPr>
          <w:sz w:val="24"/>
          <w:szCs w:val="24"/>
        </w:rPr>
        <w:t xml:space="preserve"> οι οποίες είναι πολύ πιο έντονες σε σχέση με τις προηγούμενες μεταβλητές εμφανίζονται σε σχέση με το μέγεθος των επιχειρήσεων. Οι επιχειρήσεις που έχουν τον μικρότερο </w:t>
      </w:r>
      <w:r w:rsidR="00A02674">
        <w:rPr>
          <w:sz w:val="24"/>
          <w:szCs w:val="24"/>
        </w:rPr>
        <w:t>κύκλο εργασιών</w:t>
      </w:r>
      <w:r w:rsidR="00547A9B" w:rsidRPr="00547A9B">
        <w:rPr>
          <w:sz w:val="24"/>
          <w:szCs w:val="24"/>
        </w:rPr>
        <w:t xml:space="preserve"> (κάτω από 50.000€ δήλωσαν σε ποσοστό 46% ότι δεν έχουν καθόλου ταμειακά διαθέσιμα ή ότι αυτά επαρκούν μόλις για ένα μήνα, ποσοστό τριπλάσιο από το αντίστοιχο (17,1%) τ</w:t>
      </w:r>
      <w:r w:rsidR="00A02674">
        <w:rPr>
          <w:sz w:val="24"/>
          <w:szCs w:val="24"/>
        </w:rPr>
        <w:t>ων μεγαλύτερων επιχειρήσεων</w:t>
      </w:r>
      <w:r w:rsidR="00547A9B" w:rsidRPr="00547A9B">
        <w:rPr>
          <w:sz w:val="24"/>
          <w:szCs w:val="24"/>
        </w:rPr>
        <w:t xml:space="preserve"> με </w:t>
      </w:r>
      <w:r w:rsidR="00A02674">
        <w:rPr>
          <w:sz w:val="24"/>
          <w:szCs w:val="24"/>
        </w:rPr>
        <w:t>κύκλο εργασιών</w:t>
      </w:r>
      <w:r w:rsidR="00547A9B" w:rsidRPr="00547A9B">
        <w:rPr>
          <w:sz w:val="24"/>
          <w:szCs w:val="24"/>
        </w:rPr>
        <w:t xml:space="preserve"> πάνω από 1 εκ. €. </w:t>
      </w:r>
      <w:r w:rsidR="008051B5">
        <w:rPr>
          <w:sz w:val="24"/>
          <w:szCs w:val="24"/>
        </w:rPr>
        <w:t>Περαιτέρω</w:t>
      </w:r>
      <w:r w:rsidR="00547A9B" w:rsidRPr="00547A9B">
        <w:rPr>
          <w:sz w:val="24"/>
          <w:szCs w:val="24"/>
        </w:rPr>
        <w:t>, και σε αυτή την μεταβλητή οι επιχειρήσεις που είναι εγκατεστημένες στην Κρήτη και τα νησιά του Αιγαίου έχουν σημαντικά μικρότερο πρόβλημα ρευστότητας (25%) σε σχέση με τις επιχειρήσεις στη</w:t>
      </w:r>
      <w:r w:rsidR="008051B5">
        <w:rPr>
          <w:sz w:val="24"/>
          <w:szCs w:val="24"/>
        </w:rPr>
        <w:t xml:space="preserve">ν υπόλοιπη Ελλάδα (38,5%-39,2%). Τέλος, το σημαντικότερο πρόβλημα ρευστότητας φαίνεται πως αντιμετωπίζουν οι επιχειρήσεις </w:t>
      </w:r>
      <w:r w:rsidR="008051B5">
        <w:rPr>
          <w:sz w:val="24"/>
          <w:szCs w:val="24"/>
        </w:rPr>
        <w:lastRenderedPageBreak/>
        <w:t xml:space="preserve">εστίασης καθώς το 58,9% αυτών δήλωσαν ότι </w:t>
      </w:r>
      <w:r w:rsidR="008051B5" w:rsidRPr="008051B5">
        <w:rPr>
          <w:sz w:val="24"/>
          <w:szCs w:val="24"/>
        </w:rPr>
        <w:t>δεν έχουν καθόλου ταμειακά διαθέσιμα ή ότι αυτά επαρκούν μόλις για ένα μήνα</w:t>
      </w:r>
      <w:r w:rsidR="008051B5">
        <w:rPr>
          <w:sz w:val="24"/>
          <w:szCs w:val="24"/>
        </w:rPr>
        <w:t>.</w:t>
      </w:r>
    </w:p>
    <w:tbl>
      <w:tblPr>
        <w:tblW w:w="5000" w:type="pct"/>
        <w:tblLook w:val="04A0" w:firstRow="1" w:lastRow="0" w:firstColumn="1" w:lastColumn="0" w:noHBand="0" w:noVBand="1"/>
      </w:tblPr>
      <w:tblGrid>
        <w:gridCol w:w="2577"/>
        <w:gridCol w:w="1004"/>
        <w:gridCol w:w="1096"/>
        <w:gridCol w:w="927"/>
        <w:gridCol w:w="677"/>
        <w:gridCol w:w="760"/>
        <w:gridCol w:w="786"/>
        <w:gridCol w:w="901"/>
        <w:gridCol w:w="889"/>
        <w:gridCol w:w="1088"/>
      </w:tblGrid>
      <w:tr w:rsidR="000F2966" w:rsidRPr="000F2966" w:rsidTr="000F2966">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0F2966" w:rsidRDefault="00E70A64"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5</w:t>
            </w:r>
          </w:p>
          <w:p w:rsidR="000F2966" w:rsidRPr="000F2966" w:rsidRDefault="000F2966" w:rsidP="00700BFC">
            <w:pPr>
              <w:spacing w:after="0" w:line="360" w:lineRule="auto"/>
              <w:jc w:val="center"/>
              <w:rPr>
                <w:rFonts w:ascii="Calibri" w:eastAsia="Times New Roman" w:hAnsi="Calibri" w:cs="Calibri"/>
                <w:b/>
                <w:bCs/>
                <w:color w:val="000000"/>
                <w:sz w:val="24"/>
                <w:szCs w:val="24"/>
              </w:rPr>
            </w:pPr>
            <w:r w:rsidRPr="000F2966">
              <w:rPr>
                <w:rFonts w:ascii="Calibri" w:eastAsia="Times New Roman" w:hAnsi="Calibri" w:cs="Calibri"/>
                <w:b/>
                <w:bCs/>
                <w:color w:val="000000"/>
                <w:sz w:val="24"/>
                <w:szCs w:val="24"/>
              </w:rPr>
              <w:t>ΤΑΜΕΙΑΚΑ ΔΙΑΘΕΣΙΜΑ - ΙΟΥΛΙΟΣ 2022 - ΑΝΑ ΚΑΤΗΓΟΡΙΑ</w:t>
            </w:r>
            <w:r w:rsidR="002B7D15">
              <w:rPr>
                <w:rFonts w:ascii="Calibri" w:eastAsia="Times New Roman" w:hAnsi="Calibri" w:cs="Calibri"/>
                <w:b/>
                <w:bCs/>
                <w:color w:val="000000"/>
                <w:sz w:val="24"/>
                <w:szCs w:val="24"/>
              </w:rPr>
              <w:t xml:space="preserve"> ΕΠΙΧΕΙΡΗΣΕΩΝ</w:t>
            </w:r>
          </w:p>
        </w:tc>
      </w:tr>
      <w:tr w:rsidR="000F2966" w:rsidRPr="000F2966" w:rsidTr="00B83ABF">
        <w:trPr>
          <w:trHeight w:val="300"/>
        </w:trPr>
        <w:tc>
          <w:tcPr>
            <w:tcW w:w="1204"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 </w:t>
            </w:r>
          </w:p>
        </w:tc>
        <w:tc>
          <w:tcPr>
            <w:tcW w:w="1414" w:type="pct"/>
            <w:gridSpan w:val="3"/>
            <w:tcBorders>
              <w:top w:val="single" w:sz="4" w:space="0" w:color="auto"/>
              <w:left w:val="nil"/>
              <w:bottom w:val="single" w:sz="4" w:space="0" w:color="auto"/>
              <w:right w:val="single" w:sz="4" w:space="0" w:color="auto"/>
            </w:tcBorders>
            <w:shd w:val="clear" w:color="D9E1F2" w:fill="D9E1F2"/>
            <w:noWrap/>
            <w:vAlign w:val="bottom"/>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ΚΛΑΔΟΣ</w:t>
            </w:r>
          </w:p>
        </w:tc>
        <w:tc>
          <w:tcPr>
            <w:tcW w:w="2383" w:type="pct"/>
            <w:gridSpan w:val="6"/>
            <w:tcBorders>
              <w:top w:val="single" w:sz="4" w:space="0" w:color="auto"/>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ΕΤΗΣΙΟΣ ΚΥΚΛΟΣ ΕΡΓΑΣΙΩΝ 2021</w:t>
            </w:r>
          </w:p>
        </w:tc>
      </w:tr>
      <w:tr w:rsidR="000F2966" w:rsidRPr="000F2966" w:rsidTr="000F2966">
        <w:trPr>
          <w:trHeight w:val="1200"/>
        </w:trPr>
        <w:tc>
          <w:tcPr>
            <w:tcW w:w="1204" w:type="pct"/>
            <w:vMerge/>
            <w:tcBorders>
              <w:top w:val="nil"/>
              <w:left w:val="single" w:sz="4" w:space="0" w:color="auto"/>
              <w:bottom w:val="single" w:sz="4" w:space="0" w:color="auto"/>
              <w:right w:val="single" w:sz="4" w:space="0" w:color="auto"/>
            </w:tcBorders>
            <w:vAlign w:val="center"/>
            <w:hideMark/>
          </w:tcPr>
          <w:p w:rsidR="000F2966" w:rsidRPr="000F2966" w:rsidRDefault="000F2966" w:rsidP="00700BFC">
            <w:pPr>
              <w:spacing w:after="0" w:line="360" w:lineRule="auto"/>
              <w:rPr>
                <w:rFonts w:ascii="Calibri" w:eastAsia="Times New Roman" w:hAnsi="Calibri" w:cs="Calibri"/>
                <w:b/>
                <w:bCs/>
                <w:color w:val="000000"/>
                <w:sz w:val="16"/>
                <w:szCs w:val="16"/>
              </w:rPr>
            </w:pPr>
          </w:p>
        </w:tc>
        <w:tc>
          <w:tcPr>
            <w:tcW w:w="469"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Εμπόριο</w:t>
            </w:r>
          </w:p>
        </w:tc>
        <w:tc>
          <w:tcPr>
            <w:tcW w:w="512"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Μεταποίηση</w:t>
            </w:r>
          </w:p>
        </w:tc>
        <w:tc>
          <w:tcPr>
            <w:tcW w:w="433"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Υπηρεσίες</w:t>
            </w:r>
          </w:p>
        </w:tc>
        <w:tc>
          <w:tcPr>
            <w:tcW w:w="316" w:type="pct"/>
            <w:tcBorders>
              <w:top w:val="nil"/>
              <w:left w:val="nil"/>
              <w:bottom w:val="single" w:sz="4" w:space="0" w:color="auto"/>
              <w:right w:val="single" w:sz="4" w:space="0" w:color="auto"/>
            </w:tcBorders>
            <w:shd w:val="clear" w:color="D9E1F2" w:fill="D9E1F2"/>
            <w:vAlign w:val="center"/>
            <w:hideMark/>
          </w:tcPr>
          <w:p w:rsidR="000F2966" w:rsidRPr="000F2966" w:rsidRDefault="00E70A64"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000F2966" w:rsidRPr="000F2966">
              <w:rPr>
                <w:rFonts w:ascii="Calibri" w:eastAsia="Times New Roman" w:hAnsi="Calibri" w:cs="Calibri"/>
                <w:b/>
                <w:bCs/>
                <w:color w:val="000000"/>
                <w:sz w:val="16"/>
                <w:szCs w:val="16"/>
              </w:rPr>
              <w:t xml:space="preserve"> 50.000 €</w:t>
            </w:r>
          </w:p>
        </w:tc>
        <w:tc>
          <w:tcPr>
            <w:tcW w:w="355"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50.000 - 100.000 €</w:t>
            </w:r>
          </w:p>
        </w:tc>
        <w:tc>
          <w:tcPr>
            <w:tcW w:w="367"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100.001 - 300.000 €</w:t>
            </w:r>
          </w:p>
        </w:tc>
        <w:tc>
          <w:tcPr>
            <w:tcW w:w="421"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300.001 - 500.000 €</w:t>
            </w:r>
          </w:p>
        </w:tc>
        <w:tc>
          <w:tcPr>
            <w:tcW w:w="415"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500.001 - 1.000.000 €</w:t>
            </w:r>
          </w:p>
        </w:tc>
        <w:tc>
          <w:tcPr>
            <w:tcW w:w="508"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Πάνω από 1.000.000 €</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Δεν υπάρχουν ταμειακά διαθέσιμα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26,8%</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28,0%</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28,8%</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35,9%</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23,9%</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17,4%</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16,7%</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11,4%</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Λιγότερο από μήνα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11,7%</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7,3%</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8,1%</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10,1%</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9,7%</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5,8%</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5,7%</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Ένα μήνα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16,7%</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17,1%</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12,0%</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16,8%</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14,2%</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13,9%</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9,1%</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11,4%</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2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9,3%</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11,0%</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8,7%</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14,9%</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8,0%</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8,6%</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3 - 4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7,0%</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9,3%</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9,4%</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8,1%</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8,2%</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8,7%</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16,7%</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9,1%</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8,6%</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5 - 6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11,7%</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11,4%</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12,6%</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10,1%</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16,4%</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18,1%</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11,1%</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9,1%</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14,3%</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Περισσότερο από 6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10,0%</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9,3%</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10,7%</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5,9%</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6,7%</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19,6%</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19,4%</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12,1%</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25,7%</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8,4%</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7,4%</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4,5%</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6,0%</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7,2%</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5,6%</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15,2%</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14,3%</w:t>
            </w:r>
          </w:p>
        </w:tc>
      </w:tr>
      <w:tr w:rsidR="000F2966" w:rsidRPr="000F2966" w:rsidTr="000F2966">
        <w:trPr>
          <w:trHeight w:val="300"/>
        </w:trPr>
        <w:tc>
          <w:tcPr>
            <w:tcW w:w="1204"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 </w:t>
            </w:r>
          </w:p>
        </w:tc>
        <w:tc>
          <w:tcPr>
            <w:tcW w:w="1730" w:type="pct"/>
            <w:gridSpan w:val="4"/>
            <w:tcBorders>
              <w:top w:val="single" w:sz="4" w:space="0" w:color="auto"/>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ΑΡΙΘΜΟΣ ΕΡΓΑΖΟΜΕΝΩΝ</w:t>
            </w:r>
          </w:p>
        </w:tc>
        <w:tc>
          <w:tcPr>
            <w:tcW w:w="1558" w:type="pct"/>
            <w:gridSpan w:val="4"/>
            <w:tcBorders>
              <w:top w:val="single" w:sz="4" w:space="0" w:color="auto"/>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ΓΕΩΓΡΑΦΙΚΗ ΠΕΡΙΟΧΗ</w:t>
            </w:r>
          </w:p>
        </w:tc>
        <w:tc>
          <w:tcPr>
            <w:tcW w:w="508" w:type="pct"/>
            <w:tcBorders>
              <w:top w:val="nil"/>
              <w:left w:val="nil"/>
              <w:bottom w:val="single" w:sz="4" w:space="0" w:color="auto"/>
              <w:right w:val="single" w:sz="4" w:space="0" w:color="auto"/>
            </w:tcBorders>
            <w:shd w:val="clear" w:color="D9E1F2" w:fill="D9E1F2"/>
            <w:noWrap/>
            <w:vAlign w:val="bottom"/>
            <w:hideMark/>
          </w:tcPr>
          <w:p w:rsidR="000F2966" w:rsidRPr="000F2966" w:rsidRDefault="000F2966" w:rsidP="00700BFC">
            <w:pPr>
              <w:spacing w:after="0" w:line="360" w:lineRule="auto"/>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ΥΠΟΚΛΑΔΟΣ</w:t>
            </w:r>
          </w:p>
        </w:tc>
      </w:tr>
      <w:tr w:rsidR="000F2966" w:rsidRPr="000F2966" w:rsidTr="000F2966">
        <w:trPr>
          <w:trHeight w:val="1200"/>
        </w:trPr>
        <w:tc>
          <w:tcPr>
            <w:tcW w:w="1204" w:type="pct"/>
            <w:vMerge/>
            <w:tcBorders>
              <w:top w:val="nil"/>
              <w:left w:val="single" w:sz="4" w:space="0" w:color="auto"/>
              <w:bottom w:val="single" w:sz="4" w:space="0" w:color="auto"/>
              <w:right w:val="single" w:sz="4" w:space="0" w:color="auto"/>
            </w:tcBorders>
            <w:vAlign w:val="center"/>
            <w:hideMark/>
          </w:tcPr>
          <w:p w:rsidR="000F2966" w:rsidRPr="000F2966" w:rsidRDefault="000F2966" w:rsidP="00700BFC">
            <w:pPr>
              <w:spacing w:after="0" w:line="360" w:lineRule="auto"/>
              <w:rPr>
                <w:rFonts w:ascii="Calibri" w:eastAsia="Times New Roman" w:hAnsi="Calibri" w:cs="Calibri"/>
                <w:b/>
                <w:bCs/>
                <w:color w:val="000000"/>
                <w:sz w:val="16"/>
                <w:szCs w:val="16"/>
              </w:rPr>
            </w:pPr>
          </w:p>
        </w:tc>
        <w:tc>
          <w:tcPr>
            <w:tcW w:w="469"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Χωρίς προσωπικό</w:t>
            </w:r>
          </w:p>
        </w:tc>
        <w:tc>
          <w:tcPr>
            <w:tcW w:w="512"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1 έως 4</w:t>
            </w:r>
          </w:p>
        </w:tc>
        <w:tc>
          <w:tcPr>
            <w:tcW w:w="433"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5 έως 9</w:t>
            </w:r>
          </w:p>
        </w:tc>
        <w:tc>
          <w:tcPr>
            <w:tcW w:w="316"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10 έως 49</w:t>
            </w:r>
          </w:p>
        </w:tc>
        <w:tc>
          <w:tcPr>
            <w:tcW w:w="355"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EL3 ΑΤΤΙΚΗ</w:t>
            </w:r>
          </w:p>
        </w:tc>
        <w:tc>
          <w:tcPr>
            <w:tcW w:w="367"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EL5 ΒΟΡΕΙΑ ΕΛΛΑΔΑ</w:t>
            </w:r>
          </w:p>
        </w:tc>
        <w:tc>
          <w:tcPr>
            <w:tcW w:w="421"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EL6 ΚΕΝΤΡΙΚΗ ΕΛΛΑΔΑ</w:t>
            </w:r>
          </w:p>
        </w:tc>
        <w:tc>
          <w:tcPr>
            <w:tcW w:w="415"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EL4 ΝΗΣΙΑ ΑΙΓΑΙΟΥ &amp; ΚΡΗΤΗ</w:t>
            </w:r>
          </w:p>
        </w:tc>
        <w:tc>
          <w:tcPr>
            <w:tcW w:w="508" w:type="pct"/>
            <w:tcBorders>
              <w:top w:val="nil"/>
              <w:left w:val="nil"/>
              <w:bottom w:val="single" w:sz="4" w:space="0" w:color="auto"/>
              <w:right w:val="single" w:sz="4" w:space="0" w:color="auto"/>
            </w:tcBorders>
            <w:shd w:val="clear" w:color="D9E1F2" w:fill="D9E1F2"/>
            <w:vAlign w:val="center"/>
            <w:hideMark/>
          </w:tcPr>
          <w:p w:rsidR="000F2966" w:rsidRPr="000F2966" w:rsidRDefault="000F2966" w:rsidP="00700BFC">
            <w:pPr>
              <w:spacing w:after="0" w:line="360" w:lineRule="auto"/>
              <w:jc w:val="center"/>
              <w:rPr>
                <w:rFonts w:ascii="Calibri" w:eastAsia="Times New Roman" w:hAnsi="Calibri" w:cs="Calibri"/>
                <w:b/>
                <w:bCs/>
                <w:color w:val="000000"/>
                <w:sz w:val="16"/>
                <w:szCs w:val="16"/>
              </w:rPr>
            </w:pPr>
            <w:r w:rsidRPr="000F2966">
              <w:rPr>
                <w:rFonts w:ascii="Calibri" w:eastAsia="Times New Roman" w:hAnsi="Calibri" w:cs="Calibri"/>
                <w:b/>
                <w:bCs/>
                <w:color w:val="000000"/>
                <w:sz w:val="16"/>
                <w:szCs w:val="16"/>
              </w:rPr>
              <w:t>Εστίαση</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Δεν υπάρχουν ταμειακά διαθέσιμα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37,4%</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24,5%</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23,8%</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28,2%</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31,3%</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29,1%</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17,3%</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43,8%</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Λιγότερο από μήνα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12,2%</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5,8%</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10,3%</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7,8%</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10,1%</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15,1%</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Ένα μήνα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17,3%</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14,9%</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10,9%</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13,5%</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13,7%</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20,7%</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11,6%</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12,5%</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5,5%</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2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5,0%</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10,5%</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15,8%</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11,5%</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11,0%</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9,7%</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8,7%</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12,3%</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3 - 4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7,9%</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8,3%</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9,9%</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11,5%</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10,0%</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6,0%</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9,5%</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4,1%</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5 - 6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10,4%</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14,0%</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10,9%</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7,7%</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11,0%</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12,4%</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12,2%</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13,5%</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4,1%</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Περισσότερο από 6 μήνες</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4,7%</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11,6%</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14,9%</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19,2%</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8,9%</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12,2%</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16,3%</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8,2%</w:t>
            </w:r>
          </w:p>
        </w:tc>
      </w:tr>
      <w:tr w:rsidR="000F2966" w:rsidRPr="000F2966" w:rsidTr="000F2966">
        <w:trPr>
          <w:trHeight w:val="300"/>
        </w:trPr>
        <w:tc>
          <w:tcPr>
            <w:tcW w:w="1204" w:type="pct"/>
            <w:tcBorders>
              <w:top w:val="nil"/>
              <w:left w:val="single" w:sz="4" w:space="0" w:color="auto"/>
              <w:bottom w:val="single" w:sz="4" w:space="0" w:color="auto"/>
              <w:right w:val="single" w:sz="4" w:space="0" w:color="auto"/>
            </w:tcBorders>
            <w:shd w:val="clear" w:color="auto" w:fill="auto"/>
            <w:noWrap/>
            <w:vAlign w:val="bottom"/>
            <w:hideMark/>
          </w:tcPr>
          <w:p w:rsidR="000F2966" w:rsidRPr="000F2966" w:rsidRDefault="000F2966" w:rsidP="00700BFC">
            <w:pPr>
              <w:spacing w:after="0" w:line="360" w:lineRule="auto"/>
              <w:rPr>
                <w:rFonts w:ascii="Calibri" w:eastAsia="Times New Roman" w:hAnsi="Calibri" w:cs="Calibri"/>
                <w:color w:val="000000"/>
                <w:sz w:val="16"/>
                <w:szCs w:val="16"/>
              </w:rPr>
            </w:pPr>
            <w:r w:rsidRPr="000F2966">
              <w:rPr>
                <w:rFonts w:ascii="Calibri" w:eastAsia="Times New Roman" w:hAnsi="Calibri" w:cs="Calibri"/>
                <w:color w:val="000000"/>
                <w:sz w:val="16"/>
                <w:szCs w:val="16"/>
              </w:rPr>
              <w:t>Δ.Α</w:t>
            </w:r>
          </w:p>
        </w:tc>
        <w:tc>
          <w:tcPr>
            <w:tcW w:w="469"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5,0%</w:t>
            </w:r>
          </w:p>
        </w:tc>
        <w:tc>
          <w:tcPr>
            <w:tcW w:w="512"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8,0%</w:t>
            </w:r>
          </w:p>
        </w:tc>
        <w:tc>
          <w:tcPr>
            <w:tcW w:w="433"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316"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23,1%</w:t>
            </w:r>
          </w:p>
        </w:tc>
        <w:tc>
          <w:tcPr>
            <w:tcW w:w="35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6,9%</w:t>
            </w:r>
          </w:p>
        </w:tc>
        <w:tc>
          <w:tcPr>
            <w:tcW w:w="367"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5,1%</w:t>
            </w:r>
          </w:p>
        </w:tc>
        <w:tc>
          <w:tcPr>
            <w:tcW w:w="421"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8,5%</w:t>
            </w:r>
          </w:p>
        </w:tc>
        <w:tc>
          <w:tcPr>
            <w:tcW w:w="415"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16,3%</w:t>
            </w:r>
          </w:p>
        </w:tc>
        <w:tc>
          <w:tcPr>
            <w:tcW w:w="508" w:type="pct"/>
            <w:tcBorders>
              <w:top w:val="nil"/>
              <w:left w:val="nil"/>
              <w:bottom w:val="single" w:sz="4" w:space="0" w:color="auto"/>
              <w:right w:val="single" w:sz="4" w:space="0" w:color="auto"/>
            </w:tcBorders>
            <w:shd w:val="clear" w:color="auto" w:fill="auto"/>
            <w:noWrap/>
            <w:vAlign w:val="center"/>
            <w:hideMark/>
          </w:tcPr>
          <w:p w:rsidR="000F2966" w:rsidRPr="000F2966" w:rsidRDefault="000F2966" w:rsidP="00700BFC">
            <w:pPr>
              <w:spacing w:after="0" w:line="360" w:lineRule="auto"/>
              <w:jc w:val="center"/>
              <w:rPr>
                <w:rFonts w:ascii="Calibri" w:eastAsia="Times New Roman" w:hAnsi="Calibri" w:cs="Calibri"/>
                <w:color w:val="000000"/>
                <w:sz w:val="16"/>
                <w:szCs w:val="16"/>
              </w:rPr>
            </w:pPr>
            <w:r w:rsidRPr="000F2966">
              <w:rPr>
                <w:rFonts w:ascii="Calibri" w:eastAsia="Times New Roman" w:hAnsi="Calibri" w:cs="Calibri"/>
                <w:color w:val="000000"/>
                <w:sz w:val="16"/>
                <w:szCs w:val="16"/>
              </w:rPr>
              <w:t>6,8%</w:t>
            </w:r>
          </w:p>
        </w:tc>
      </w:tr>
    </w:tbl>
    <w:p w:rsidR="00A2282D" w:rsidRPr="00A2282D" w:rsidRDefault="00A2282D" w:rsidP="00700BFC">
      <w:pPr>
        <w:spacing w:after="0" w:line="360" w:lineRule="auto"/>
        <w:jc w:val="both"/>
      </w:pPr>
    </w:p>
    <w:p w:rsidR="00D60539" w:rsidRDefault="00D60539" w:rsidP="00700BFC">
      <w:pPr>
        <w:pStyle w:val="a3"/>
        <w:numPr>
          <w:ilvl w:val="0"/>
          <w:numId w:val="4"/>
        </w:numPr>
        <w:spacing w:after="0" w:line="360" w:lineRule="auto"/>
        <w:jc w:val="both"/>
        <w:rPr>
          <w:rFonts w:eastAsia="Times New Roman" w:cstheme="minorHAnsi"/>
          <w:b/>
          <w:sz w:val="24"/>
          <w:szCs w:val="24"/>
          <w:u w:val="single"/>
        </w:rPr>
      </w:pPr>
      <w:r w:rsidRPr="006F0645">
        <w:rPr>
          <w:rFonts w:eastAsia="Times New Roman" w:cstheme="minorHAnsi"/>
          <w:b/>
          <w:sz w:val="24"/>
          <w:szCs w:val="24"/>
          <w:u w:val="single"/>
        </w:rPr>
        <w:t>Απασχόληση</w:t>
      </w:r>
    </w:p>
    <w:p w:rsidR="00C62DE0" w:rsidRDefault="00C62DE0" w:rsidP="00700BFC">
      <w:pPr>
        <w:spacing w:after="0" w:line="360" w:lineRule="auto"/>
        <w:jc w:val="both"/>
        <w:rPr>
          <w:rFonts w:eastAsia="Times New Roman" w:cstheme="minorHAnsi"/>
          <w:sz w:val="24"/>
          <w:szCs w:val="24"/>
        </w:rPr>
      </w:pPr>
      <w:r w:rsidRPr="00C62DE0">
        <w:rPr>
          <w:rFonts w:eastAsia="Times New Roman" w:cstheme="minorHAnsi"/>
          <w:sz w:val="24"/>
          <w:szCs w:val="24"/>
        </w:rPr>
        <w:t xml:space="preserve">Στην απασχόληση το ισοζύγιο των επιχειρήσεων που </w:t>
      </w:r>
      <w:r w:rsidR="00540E4B">
        <w:rPr>
          <w:rFonts w:eastAsia="Times New Roman" w:cstheme="minorHAnsi"/>
          <w:sz w:val="24"/>
          <w:szCs w:val="24"/>
        </w:rPr>
        <w:t>μετέβαλαν</w:t>
      </w:r>
      <w:r w:rsidRPr="00C62DE0">
        <w:rPr>
          <w:rFonts w:eastAsia="Times New Roman" w:cstheme="minorHAnsi"/>
          <w:sz w:val="24"/>
          <w:szCs w:val="24"/>
        </w:rPr>
        <w:t xml:space="preserve"> το προσωπικό τους </w:t>
      </w:r>
      <w:r>
        <w:rPr>
          <w:rFonts w:eastAsia="Times New Roman" w:cstheme="minorHAnsi"/>
          <w:sz w:val="24"/>
          <w:szCs w:val="24"/>
        </w:rPr>
        <w:t>είναι θετικό, κάτι που σε γενικές γραμμές καταγράφεται διαχρονικά για το 1</w:t>
      </w:r>
      <w:r w:rsidRPr="00C62DE0">
        <w:rPr>
          <w:rFonts w:eastAsia="Times New Roman" w:cstheme="minorHAnsi"/>
          <w:sz w:val="24"/>
          <w:szCs w:val="24"/>
          <w:vertAlign w:val="superscript"/>
        </w:rPr>
        <w:t>ο</w:t>
      </w:r>
      <w:r>
        <w:rPr>
          <w:rFonts w:eastAsia="Times New Roman" w:cstheme="minorHAnsi"/>
          <w:sz w:val="24"/>
          <w:szCs w:val="24"/>
        </w:rPr>
        <w:t xml:space="preserve"> εξάμηνο του έτους</w:t>
      </w:r>
      <w:r w:rsidRPr="00C62DE0">
        <w:t xml:space="preserve"> </w:t>
      </w:r>
      <w:r w:rsidRPr="00C62DE0">
        <w:rPr>
          <w:rFonts w:eastAsia="Times New Roman" w:cstheme="minorHAnsi"/>
          <w:sz w:val="24"/>
          <w:szCs w:val="24"/>
        </w:rPr>
        <w:t xml:space="preserve">λόγω της εποχικότητας των δραστηριοτήτων που σχετίζονται με τον τουρισμό. Συγκεκριμένα, το </w:t>
      </w:r>
      <w:r w:rsidR="0087257C">
        <w:rPr>
          <w:rFonts w:eastAsia="Times New Roman" w:cstheme="minorHAnsi"/>
          <w:sz w:val="24"/>
          <w:szCs w:val="24"/>
        </w:rPr>
        <w:t>1</w:t>
      </w:r>
      <w:r w:rsidR="0087257C" w:rsidRPr="0087257C">
        <w:rPr>
          <w:rFonts w:eastAsia="Times New Roman" w:cstheme="minorHAnsi"/>
          <w:sz w:val="24"/>
          <w:szCs w:val="24"/>
          <w:vertAlign w:val="superscript"/>
        </w:rPr>
        <w:t>ο</w:t>
      </w:r>
      <w:r w:rsidR="0087257C">
        <w:rPr>
          <w:rFonts w:eastAsia="Times New Roman" w:cstheme="minorHAnsi"/>
          <w:sz w:val="24"/>
          <w:szCs w:val="24"/>
        </w:rPr>
        <w:t xml:space="preserve"> εξάμηνο του 2022</w:t>
      </w:r>
      <w:r w:rsidRPr="00C62DE0">
        <w:rPr>
          <w:rFonts w:eastAsia="Times New Roman" w:cstheme="minorHAnsi"/>
          <w:sz w:val="24"/>
          <w:szCs w:val="24"/>
        </w:rPr>
        <w:t xml:space="preserve"> </w:t>
      </w:r>
      <w:r w:rsidR="0087257C" w:rsidRPr="0087257C">
        <w:rPr>
          <w:rFonts w:eastAsia="Times New Roman" w:cstheme="minorHAnsi"/>
          <w:sz w:val="24"/>
          <w:szCs w:val="24"/>
        </w:rPr>
        <w:t xml:space="preserve">οι επιχειρήσεις οι οποίες δήλωσαν ότι αύξησαν το προσωπικό τους </w:t>
      </w:r>
      <w:r w:rsidR="0087257C">
        <w:rPr>
          <w:rFonts w:eastAsia="Times New Roman" w:cstheme="minorHAnsi"/>
          <w:sz w:val="24"/>
          <w:szCs w:val="24"/>
        </w:rPr>
        <w:t>αντιστοιχούν στο</w:t>
      </w:r>
      <w:r w:rsidR="0087257C" w:rsidRPr="0087257C">
        <w:rPr>
          <w:rFonts w:eastAsia="Times New Roman" w:cstheme="minorHAnsi"/>
          <w:sz w:val="24"/>
          <w:szCs w:val="24"/>
        </w:rPr>
        <w:t xml:space="preserve"> 9,4% </w:t>
      </w:r>
      <w:r w:rsidR="0087257C">
        <w:rPr>
          <w:rFonts w:eastAsia="Times New Roman" w:cstheme="minorHAnsi"/>
          <w:sz w:val="24"/>
          <w:szCs w:val="24"/>
        </w:rPr>
        <w:t>έναντι του 8,5% που</w:t>
      </w:r>
      <w:r w:rsidR="00540E4B">
        <w:rPr>
          <w:rFonts w:eastAsia="Times New Roman" w:cstheme="minorHAnsi"/>
          <w:sz w:val="24"/>
          <w:szCs w:val="24"/>
        </w:rPr>
        <w:t xml:space="preserve"> δήλωσε</w:t>
      </w:r>
      <w:r w:rsidR="0087257C" w:rsidRPr="0087257C">
        <w:rPr>
          <w:rFonts w:eastAsia="Times New Roman" w:cstheme="minorHAnsi"/>
          <w:sz w:val="24"/>
          <w:szCs w:val="24"/>
        </w:rPr>
        <w:t xml:space="preserve"> </w:t>
      </w:r>
      <w:r w:rsidR="0087257C">
        <w:rPr>
          <w:rFonts w:eastAsia="Times New Roman" w:cstheme="minorHAnsi"/>
          <w:sz w:val="24"/>
          <w:szCs w:val="24"/>
        </w:rPr>
        <w:t>ότι το</w:t>
      </w:r>
      <w:r w:rsidR="00540E4B">
        <w:rPr>
          <w:rFonts w:eastAsia="Times New Roman" w:cstheme="minorHAnsi"/>
          <w:sz w:val="24"/>
          <w:szCs w:val="24"/>
        </w:rPr>
        <w:t xml:space="preserve"> μείωσε.</w:t>
      </w:r>
      <w:r w:rsidR="0087257C" w:rsidRPr="0087257C">
        <w:rPr>
          <w:rFonts w:eastAsia="Times New Roman" w:cstheme="minorHAnsi"/>
          <w:sz w:val="24"/>
          <w:szCs w:val="24"/>
        </w:rPr>
        <w:t xml:space="preserve"> </w:t>
      </w:r>
      <w:r w:rsidRPr="00C62DE0">
        <w:rPr>
          <w:rFonts w:eastAsia="Times New Roman" w:cstheme="minorHAnsi"/>
          <w:sz w:val="24"/>
          <w:szCs w:val="24"/>
        </w:rPr>
        <w:t>Τα ευρήματα συμβαδίζουν με της ΕΛΣΤΑΤ, όπου καταγράφ</w:t>
      </w:r>
      <w:r w:rsidR="0087257C">
        <w:rPr>
          <w:rFonts w:eastAsia="Times New Roman" w:cstheme="minorHAnsi"/>
          <w:sz w:val="24"/>
          <w:szCs w:val="24"/>
        </w:rPr>
        <w:t>εται περαιτέρω</w:t>
      </w:r>
      <w:r w:rsidRPr="00C62DE0">
        <w:rPr>
          <w:rFonts w:eastAsia="Times New Roman" w:cstheme="minorHAnsi"/>
          <w:sz w:val="24"/>
          <w:szCs w:val="24"/>
        </w:rPr>
        <w:t xml:space="preserve"> αποκλιμάκωση της ανεργίας </w:t>
      </w:r>
      <w:r w:rsidR="0087257C">
        <w:rPr>
          <w:rFonts w:eastAsia="Times New Roman" w:cstheme="minorHAnsi"/>
          <w:sz w:val="24"/>
          <w:szCs w:val="24"/>
        </w:rPr>
        <w:t>στο 12</w:t>
      </w:r>
      <w:r w:rsidR="0087257C" w:rsidRPr="0087257C">
        <w:rPr>
          <w:rFonts w:eastAsia="Times New Roman" w:cstheme="minorHAnsi"/>
          <w:sz w:val="24"/>
          <w:szCs w:val="24"/>
        </w:rPr>
        <w:t>,1% (</w:t>
      </w:r>
      <w:r w:rsidR="0087257C">
        <w:rPr>
          <w:rFonts w:eastAsia="Times New Roman" w:cstheme="minorHAnsi"/>
          <w:sz w:val="24"/>
          <w:szCs w:val="24"/>
        </w:rPr>
        <w:t xml:space="preserve">Ιούνιος 2022) </w:t>
      </w:r>
      <w:r w:rsidRPr="00C62DE0">
        <w:rPr>
          <w:rFonts w:eastAsia="Times New Roman" w:cstheme="minorHAnsi"/>
          <w:sz w:val="24"/>
          <w:szCs w:val="24"/>
        </w:rPr>
        <w:t xml:space="preserve">που, ωστόσο, παραμένει ακόμα σε υψηλά επίπεδα, κάτι που συνεχίζει να αποτελεί εμπόδιο για τη βελτίωση της αγοράς εργασίας.  </w:t>
      </w:r>
    </w:p>
    <w:p w:rsidR="00F72663" w:rsidRDefault="00B6363E" w:rsidP="00700BFC">
      <w:pPr>
        <w:spacing w:after="0" w:line="360" w:lineRule="auto"/>
        <w:jc w:val="both"/>
        <w:rPr>
          <w:rFonts w:eastAsia="Times New Roman" w:cstheme="minorHAnsi"/>
          <w:bCs/>
          <w:sz w:val="24"/>
          <w:szCs w:val="24"/>
        </w:rPr>
      </w:pPr>
      <w:r>
        <w:rPr>
          <w:noProof/>
        </w:rPr>
        <w:lastRenderedPageBreak/>
        <w:drawing>
          <wp:inline distT="0" distB="0" distL="0" distR="0" wp14:anchorId="17841904" wp14:editId="41C05E1C">
            <wp:extent cx="6496050" cy="1771650"/>
            <wp:effectExtent l="0" t="0" r="19050" b="19050"/>
            <wp:docPr id="39" name="Γράφημα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04DD" w:rsidRPr="001B2706" w:rsidRDefault="00241114" w:rsidP="00700BFC">
      <w:pPr>
        <w:spacing w:after="0" w:line="360" w:lineRule="auto"/>
        <w:jc w:val="both"/>
        <w:rPr>
          <w:rFonts w:eastAsia="Times New Roman" w:cstheme="minorHAnsi"/>
          <w:bCs/>
          <w:sz w:val="24"/>
          <w:szCs w:val="24"/>
        </w:rPr>
      </w:pPr>
      <w:r>
        <w:rPr>
          <w:rFonts w:eastAsia="Times New Roman" w:cstheme="minorHAnsi"/>
          <w:bCs/>
          <w:sz w:val="24"/>
          <w:szCs w:val="24"/>
        </w:rPr>
        <w:t>Σε όλους τους κλάδους οι επιχειρήσεις που δήλωσαν αύξηση της απασχόλησης ήταν περισσότερες από αυτές που δήλωσαν μείωση με τις επιχειρήσεις στον τομέα των υπηρεσιών να σημειώνουν διπλάσια αύξηση σε σχέση με το εμπόριο και την μεταποίηση</w:t>
      </w:r>
      <w:r w:rsidR="0087257C">
        <w:rPr>
          <w:rFonts w:eastAsia="Times New Roman" w:cstheme="minorHAnsi"/>
          <w:bCs/>
          <w:sz w:val="24"/>
          <w:szCs w:val="24"/>
        </w:rPr>
        <w:t>,</w:t>
      </w:r>
      <w:r>
        <w:rPr>
          <w:rFonts w:eastAsia="Times New Roman" w:cstheme="minorHAnsi"/>
          <w:bCs/>
          <w:sz w:val="24"/>
          <w:szCs w:val="24"/>
        </w:rPr>
        <w:t xml:space="preserve"> ενώ στον </w:t>
      </w:r>
      <w:proofErr w:type="spellStart"/>
      <w:r>
        <w:rPr>
          <w:rFonts w:eastAsia="Times New Roman" w:cstheme="minorHAnsi"/>
          <w:bCs/>
          <w:sz w:val="24"/>
          <w:szCs w:val="24"/>
        </w:rPr>
        <w:t>υποκλάδο</w:t>
      </w:r>
      <w:proofErr w:type="spellEnd"/>
      <w:r>
        <w:rPr>
          <w:rFonts w:eastAsia="Times New Roman" w:cstheme="minorHAnsi"/>
          <w:bCs/>
          <w:sz w:val="24"/>
          <w:szCs w:val="24"/>
        </w:rPr>
        <w:t xml:space="preserve"> της εστίασης διπλάσιες σχεδόν επιχειρήσεις (23,3%) δήλωσαν ότι είχαν αύξηση της απασχόλησης σε σχέση με τον ευρύτερο τομέα των υπηρεσιών (13,6%). Σε γεωγραφικό επίπεδο</w:t>
      </w:r>
      <w:r w:rsidR="00A02674">
        <w:rPr>
          <w:rFonts w:eastAsia="Times New Roman" w:cstheme="minorHAnsi"/>
          <w:bCs/>
          <w:sz w:val="24"/>
          <w:szCs w:val="24"/>
        </w:rPr>
        <w:t>,</w:t>
      </w:r>
      <w:r>
        <w:rPr>
          <w:rFonts w:eastAsia="Times New Roman" w:cstheme="minorHAnsi"/>
          <w:bCs/>
          <w:sz w:val="24"/>
          <w:szCs w:val="24"/>
        </w:rPr>
        <w:t xml:space="preserve"> οι επιχειρήσεις που δήλωσαν αύξηση της απασχόλησης και είναι </w:t>
      </w:r>
      <w:r w:rsidR="0087257C">
        <w:rPr>
          <w:rFonts w:eastAsia="Times New Roman" w:cstheme="minorHAnsi"/>
          <w:bCs/>
          <w:sz w:val="24"/>
          <w:szCs w:val="24"/>
        </w:rPr>
        <w:t>εγκατεστημένες στην Κρήτη και στα</w:t>
      </w:r>
      <w:r>
        <w:rPr>
          <w:rFonts w:eastAsia="Times New Roman" w:cstheme="minorHAnsi"/>
          <w:bCs/>
          <w:sz w:val="24"/>
          <w:szCs w:val="24"/>
        </w:rPr>
        <w:t xml:space="preserve"> νησιά του Αιγαίου είναι υπερδιπλάσιες (18,3%) έναντι των αντίστοιχων στην Αττική (7,2%) στη Βόρεια Ελλάδα (8,8%) και στην Κεντρική Ελλάδα (8,5%).</w:t>
      </w:r>
      <w:r w:rsidR="00DA7939" w:rsidRPr="00DA7939">
        <w:rPr>
          <w:rFonts w:eastAsia="Times New Roman" w:cstheme="minorHAnsi"/>
          <w:bCs/>
          <w:sz w:val="24"/>
          <w:szCs w:val="24"/>
        </w:rPr>
        <w:t xml:space="preserve"> </w:t>
      </w:r>
      <w:r w:rsidR="00DA7939">
        <w:rPr>
          <w:rFonts w:eastAsia="Times New Roman" w:cstheme="minorHAnsi"/>
          <w:bCs/>
          <w:sz w:val="24"/>
          <w:szCs w:val="24"/>
        </w:rPr>
        <w:t xml:space="preserve">Ο δυισμός μεταξύ μικρών και μεγάλων επιχειρήσεων εδώ είναι πολύ πιο έντονος καθώς, οι </w:t>
      </w:r>
      <w:r w:rsidR="003653AC">
        <w:rPr>
          <w:rFonts w:eastAsia="Times New Roman" w:cstheme="minorHAnsi"/>
          <w:bCs/>
          <w:sz w:val="24"/>
          <w:szCs w:val="24"/>
        </w:rPr>
        <w:t>πολύ μικρές</w:t>
      </w:r>
      <w:r w:rsidR="00DA7939">
        <w:rPr>
          <w:rFonts w:eastAsia="Times New Roman" w:cstheme="minorHAnsi"/>
          <w:bCs/>
          <w:sz w:val="24"/>
          <w:szCs w:val="24"/>
        </w:rPr>
        <w:t xml:space="preserve"> επιχειρήσεις με </w:t>
      </w:r>
      <w:r w:rsidR="00A02674">
        <w:rPr>
          <w:rFonts w:eastAsia="Times New Roman" w:cstheme="minorHAnsi"/>
          <w:bCs/>
          <w:sz w:val="24"/>
          <w:szCs w:val="24"/>
        </w:rPr>
        <w:t>κύκλο εργασιών</w:t>
      </w:r>
      <w:r w:rsidR="00DA7939">
        <w:rPr>
          <w:rFonts w:eastAsia="Times New Roman" w:cstheme="minorHAnsi"/>
          <w:bCs/>
          <w:sz w:val="24"/>
          <w:szCs w:val="24"/>
        </w:rPr>
        <w:t xml:space="preserve"> </w:t>
      </w:r>
      <w:r w:rsidR="00A02674">
        <w:rPr>
          <w:rFonts w:eastAsia="Times New Roman" w:cstheme="minorHAnsi"/>
          <w:bCs/>
          <w:sz w:val="24"/>
          <w:szCs w:val="24"/>
        </w:rPr>
        <w:t>έως</w:t>
      </w:r>
      <w:r w:rsidR="00DA7939">
        <w:rPr>
          <w:rFonts w:eastAsia="Times New Roman" w:cstheme="minorHAnsi"/>
          <w:bCs/>
          <w:sz w:val="24"/>
          <w:szCs w:val="24"/>
        </w:rPr>
        <w:t xml:space="preserve"> 50.000</w:t>
      </w:r>
      <w:r w:rsidR="003653AC">
        <w:rPr>
          <w:rFonts w:eastAsia="Times New Roman" w:cstheme="minorHAnsi"/>
          <w:bCs/>
          <w:sz w:val="24"/>
          <w:szCs w:val="24"/>
        </w:rPr>
        <w:t xml:space="preserve"> </w:t>
      </w:r>
      <w:r w:rsidR="00DA7939">
        <w:rPr>
          <w:rFonts w:eastAsia="Times New Roman" w:cstheme="minorHAnsi"/>
          <w:bCs/>
          <w:sz w:val="24"/>
          <w:szCs w:val="24"/>
        </w:rPr>
        <w:t xml:space="preserve">€ και αυτές με προσωπικό από 1 έως 4 άτομα δήλωσαν σε ποσοστά 2,5% και 7,7% αντίστοιχα ότι είχαν αύξηση της απασχόλησης </w:t>
      </w:r>
      <w:r w:rsidR="003653AC">
        <w:rPr>
          <w:rFonts w:eastAsia="Times New Roman" w:cstheme="minorHAnsi"/>
          <w:bCs/>
          <w:sz w:val="24"/>
          <w:szCs w:val="24"/>
        </w:rPr>
        <w:t>τους</w:t>
      </w:r>
      <w:r w:rsidR="00DA7939">
        <w:rPr>
          <w:rFonts w:eastAsia="Times New Roman" w:cstheme="minorHAnsi"/>
          <w:bCs/>
          <w:sz w:val="24"/>
          <w:szCs w:val="24"/>
        </w:rPr>
        <w:t xml:space="preserve">. Στον αντίποδα βρίσκονται οι μεγάλες επιχειρήσεις με πάνω από 500.000 </w:t>
      </w:r>
      <w:r w:rsidR="003653AC">
        <w:rPr>
          <w:rFonts w:eastAsia="Times New Roman" w:cstheme="minorHAnsi"/>
          <w:bCs/>
          <w:sz w:val="24"/>
          <w:szCs w:val="24"/>
        </w:rPr>
        <w:t xml:space="preserve">€ κύκλο εργασιών </w:t>
      </w:r>
      <w:r w:rsidR="00DA7939">
        <w:rPr>
          <w:rFonts w:eastAsia="Times New Roman" w:cstheme="minorHAnsi"/>
          <w:bCs/>
          <w:sz w:val="24"/>
          <w:szCs w:val="24"/>
        </w:rPr>
        <w:t xml:space="preserve">ή με προσωπικό </w:t>
      </w:r>
      <w:r w:rsidR="003653AC">
        <w:rPr>
          <w:rFonts w:eastAsia="Times New Roman" w:cstheme="minorHAnsi"/>
          <w:bCs/>
          <w:sz w:val="24"/>
          <w:szCs w:val="24"/>
        </w:rPr>
        <w:t xml:space="preserve">με </w:t>
      </w:r>
      <w:r w:rsidR="00DA7939">
        <w:rPr>
          <w:rFonts w:eastAsia="Times New Roman" w:cstheme="minorHAnsi"/>
          <w:bCs/>
          <w:sz w:val="24"/>
          <w:szCs w:val="24"/>
        </w:rPr>
        <w:t xml:space="preserve">πάνω από 10 </w:t>
      </w:r>
      <w:r w:rsidR="00CC2984">
        <w:rPr>
          <w:rFonts w:eastAsia="Times New Roman" w:cstheme="minorHAnsi"/>
          <w:bCs/>
          <w:sz w:val="24"/>
          <w:szCs w:val="24"/>
        </w:rPr>
        <w:t>εργαζόμενους</w:t>
      </w:r>
      <w:r w:rsidR="00DA7939">
        <w:rPr>
          <w:rFonts w:eastAsia="Times New Roman" w:cstheme="minorHAnsi"/>
          <w:bCs/>
          <w:sz w:val="24"/>
          <w:szCs w:val="24"/>
        </w:rPr>
        <w:t xml:space="preserve"> οι οποίες δήλωσαν αύξηση της απασχόλησης σε ποσοστά άνω του 25% και άνω του 42% αντίστοιχα. </w:t>
      </w:r>
    </w:p>
    <w:tbl>
      <w:tblPr>
        <w:tblW w:w="5000" w:type="pct"/>
        <w:tblLook w:val="04A0" w:firstRow="1" w:lastRow="0" w:firstColumn="1" w:lastColumn="0" w:noHBand="0" w:noVBand="1"/>
      </w:tblPr>
      <w:tblGrid>
        <w:gridCol w:w="1719"/>
        <w:gridCol w:w="1049"/>
        <w:gridCol w:w="1195"/>
        <w:gridCol w:w="1000"/>
        <w:gridCol w:w="841"/>
        <w:gridCol w:w="893"/>
        <w:gridCol w:w="910"/>
        <w:gridCol w:w="983"/>
        <w:gridCol w:w="976"/>
        <w:gridCol w:w="1139"/>
      </w:tblGrid>
      <w:tr w:rsidR="00723DC9" w:rsidRPr="00723DC9" w:rsidTr="00723DC9">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723DC9" w:rsidRPr="007878C4" w:rsidRDefault="00E70A64" w:rsidP="00700BFC">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ΠΙΝΑΚΑΣ 6</w:t>
            </w:r>
          </w:p>
          <w:p w:rsidR="00723DC9" w:rsidRPr="00723DC9" w:rsidRDefault="00723DC9" w:rsidP="00700BFC">
            <w:pPr>
              <w:spacing w:after="0" w:line="240" w:lineRule="auto"/>
              <w:jc w:val="center"/>
              <w:rPr>
                <w:rFonts w:ascii="Calibri" w:eastAsia="Times New Roman" w:hAnsi="Calibri" w:cs="Calibri"/>
                <w:b/>
                <w:bCs/>
                <w:color w:val="000000"/>
                <w:sz w:val="24"/>
                <w:szCs w:val="24"/>
              </w:rPr>
            </w:pPr>
            <w:r w:rsidRPr="00723DC9">
              <w:rPr>
                <w:rFonts w:ascii="Calibri" w:eastAsia="Times New Roman" w:hAnsi="Calibri" w:cs="Calibri"/>
                <w:b/>
                <w:bCs/>
                <w:color w:val="000000"/>
                <w:sz w:val="24"/>
                <w:szCs w:val="24"/>
              </w:rPr>
              <w:t>Προσωπικό επιχείρησης το πρώτο εξάμηνο του 2022 ανά κατηγορία</w:t>
            </w:r>
          </w:p>
        </w:tc>
      </w:tr>
      <w:tr w:rsidR="00723DC9" w:rsidRPr="00723DC9" w:rsidTr="001B2706">
        <w:trPr>
          <w:trHeight w:val="319"/>
        </w:trPr>
        <w:tc>
          <w:tcPr>
            <w:tcW w:w="803"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 </w:t>
            </w:r>
          </w:p>
        </w:tc>
        <w:tc>
          <w:tcPr>
            <w:tcW w:w="1515" w:type="pct"/>
            <w:gridSpan w:val="3"/>
            <w:tcBorders>
              <w:top w:val="single" w:sz="4" w:space="0" w:color="auto"/>
              <w:left w:val="nil"/>
              <w:bottom w:val="single" w:sz="4" w:space="0" w:color="auto"/>
              <w:right w:val="single" w:sz="4" w:space="0" w:color="auto"/>
            </w:tcBorders>
            <w:shd w:val="clear" w:color="D9E1F2" w:fill="D9E1F2"/>
            <w:vAlign w:val="bottom"/>
            <w:hideMark/>
          </w:tcPr>
          <w:p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ΚΛΑΔΟΣ</w:t>
            </w:r>
          </w:p>
        </w:tc>
        <w:tc>
          <w:tcPr>
            <w:tcW w:w="2682" w:type="pct"/>
            <w:gridSpan w:val="6"/>
            <w:tcBorders>
              <w:top w:val="single" w:sz="4" w:space="0" w:color="auto"/>
              <w:left w:val="nil"/>
              <w:bottom w:val="single" w:sz="4" w:space="0" w:color="auto"/>
              <w:right w:val="single" w:sz="4" w:space="0" w:color="auto"/>
            </w:tcBorders>
            <w:shd w:val="clear" w:color="D9E1F2" w:fill="D9E1F2"/>
            <w:vAlign w:val="bottom"/>
            <w:hideMark/>
          </w:tcPr>
          <w:p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 xml:space="preserve">ΕΤΗΣΙΟΣ ΚΥΚΛΟΣ ΕΡΓΑΣΙΩΝ </w:t>
            </w:r>
          </w:p>
        </w:tc>
      </w:tr>
      <w:tr w:rsidR="00723DC9" w:rsidRPr="00723DC9" w:rsidTr="001B2706">
        <w:trPr>
          <w:trHeight w:val="600"/>
        </w:trPr>
        <w:tc>
          <w:tcPr>
            <w:tcW w:w="803" w:type="pct"/>
            <w:vMerge/>
            <w:tcBorders>
              <w:top w:val="nil"/>
              <w:left w:val="single" w:sz="4" w:space="0" w:color="auto"/>
              <w:bottom w:val="single" w:sz="4" w:space="0" w:color="000000"/>
              <w:right w:val="single" w:sz="4" w:space="0" w:color="auto"/>
            </w:tcBorders>
            <w:vAlign w:val="center"/>
            <w:hideMark/>
          </w:tcPr>
          <w:p w:rsidR="00723DC9" w:rsidRPr="00723DC9" w:rsidRDefault="00723DC9" w:rsidP="00700BFC">
            <w:pPr>
              <w:spacing w:after="0" w:line="360" w:lineRule="auto"/>
              <w:rPr>
                <w:rFonts w:ascii="Calibri" w:eastAsia="Times New Roman" w:hAnsi="Calibri" w:cs="Calibri"/>
                <w:b/>
                <w:bCs/>
                <w:color w:val="000000"/>
                <w:sz w:val="16"/>
                <w:szCs w:val="16"/>
              </w:rPr>
            </w:pPr>
          </w:p>
        </w:tc>
        <w:tc>
          <w:tcPr>
            <w:tcW w:w="490"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lang w:val="en-US"/>
              </w:rPr>
            </w:pPr>
            <w:r w:rsidRPr="001B2706">
              <w:rPr>
                <w:rFonts w:ascii="Calibri" w:eastAsia="Times New Roman" w:hAnsi="Calibri" w:cs="Calibri"/>
                <w:b/>
                <w:bCs/>
                <w:color w:val="000000"/>
                <w:sz w:val="14"/>
                <w:szCs w:val="14"/>
              </w:rPr>
              <w:t>Εμπόριο</w:t>
            </w:r>
          </w:p>
        </w:tc>
        <w:tc>
          <w:tcPr>
            <w:tcW w:w="558"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Μεταποίηση</w:t>
            </w:r>
          </w:p>
        </w:tc>
        <w:tc>
          <w:tcPr>
            <w:tcW w:w="467"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Υπηρεσίες</w:t>
            </w:r>
          </w:p>
        </w:tc>
        <w:tc>
          <w:tcPr>
            <w:tcW w:w="393" w:type="pct"/>
            <w:tcBorders>
              <w:top w:val="nil"/>
              <w:left w:val="nil"/>
              <w:bottom w:val="single" w:sz="4" w:space="0" w:color="auto"/>
              <w:right w:val="single" w:sz="4" w:space="0" w:color="auto"/>
            </w:tcBorders>
            <w:shd w:val="clear" w:color="D9E1F2" w:fill="D9E1F2"/>
            <w:vAlign w:val="bottom"/>
            <w:hideMark/>
          </w:tcPr>
          <w:p w:rsidR="00723DC9" w:rsidRPr="001B2706" w:rsidRDefault="00E70A64"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Έως</w:t>
            </w:r>
            <w:r w:rsidR="00723DC9" w:rsidRPr="001B2706">
              <w:rPr>
                <w:rFonts w:ascii="Calibri" w:eastAsia="Times New Roman" w:hAnsi="Calibri" w:cs="Calibri"/>
                <w:b/>
                <w:bCs/>
                <w:color w:val="000000"/>
                <w:sz w:val="14"/>
                <w:szCs w:val="14"/>
              </w:rPr>
              <w:t xml:space="preserve"> 50.000 €</w:t>
            </w:r>
          </w:p>
        </w:tc>
        <w:tc>
          <w:tcPr>
            <w:tcW w:w="417"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50.000 - 100.000 €</w:t>
            </w:r>
          </w:p>
        </w:tc>
        <w:tc>
          <w:tcPr>
            <w:tcW w:w="425"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100.001 - 300.000 €</w:t>
            </w:r>
          </w:p>
        </w:tc>
        <w:tc>
          <w:tcPr>
            <w:tcW w:w="459"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300.001 - 500.000 €</w:t>
            </w:r>
          </w:p>
        </w:tc>
        <w:tc>
          <w:tcPr>
            <w:tcW w:w="456"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500.001 - 1.000.000 €</w:t>
            </w:r>
          </w:p>
        </w:tc>
        <w:tc>
          <w:tcPr>
            <w:tcW w:w="532"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Πάνω από 1.000.000 €</w:t>
            </w:r>
          </w:p>
        </w:tc>
      </w:tr>
      <w:tr w:rsidR="00723DC9" w:rsidRPr="00723DC9"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Αυξήθηκε</w:t>
            </w:r>
          </w:p>
        </w:tc>
        <w:tc>
          <w:tcPr>
            <w:tcW w:w="490"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6,4%</w:t>
            </w:r>
          </w:p>
        </w:tc>
        <w:tc>
          <w:tcPr>
            <w:tcW w:w="558"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7,3%</w:t>
            </w:r>
          </w:p>
        </w:tc>
        <w:tc>
          <w:tcPr>
            <w:tcW w:w="46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13,6%</w:t>
            </w:r>
          </w:p>
        </w:tc>
        <w:tc>
          <w:tcPr>
            <w:tcW w:w="393"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2,5%</w:t>
            </w:r>
          </w:p>
        </w:tc>
        <w:tc>
          <w:tcPr>
            <w:tcW w:w="41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12,7%</w:t>
            </w:r>
          </w:p>
        </w:tc>
        <w:tc>
          <w:tcPr>
            <w:tcW w:w="425"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13,0%</w:t>
            </w:r>
          </w:p>
        </w:tc>
        <w:tc>
          <w:tcPr>
            <w:tcW w:w="459"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16,7%</w:t>
            </w:r>
          </w:p>
        </w:tc>
        <w:tc>
          <w:tcPr>
            <w:tcW w:w="456"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27,3%</w:t>
            </w:r>
          </w:p>
        </w:tc>
        <w:tc>
          <w:tcPr>
            <w:tcW w:w="532"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25,7%</w:t>
            </w:r>
          </w:p>
        </w:tc>
      </w:tr>
      <w:tr w:rsidR="00723DC9" w:rsidRPr="00723DC9"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Μειώθηκε</w:t>
            </w:r>
          </w:p>
        </w:tc>
        <w:tc>
          <w:tcPr>
            <w:tcW w:w="490"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8,7%</w:t>
            </w:r>
          </w:p>
        </w:tc>
        <w:tc>
          <w:tcPr>
            <w:tcW w:w="558"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7,8%</w:t>
            </w:r>
          </w:p>
        </w:tc>
        <w:tc>
          <w:tcPr>
            <w:tcW w:w="46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8,7%</w:t>
            </w:r>
          </w:p>
        </w:tc>
        <w:tc>
          <w:tcPr>
            <w:tcW w:w="393"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6,2%</w:t>
            </w:r>
          </w:p>
        </w:tc>
        <w:tc>
          <w:tcPr>
            <w:tcW w:w="41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7,5%</w:t>
            </w:r>
          </w:p>
        </w:tc>
        <w:tc>
          <w:tcPr>
            <w:tcW w:w="425"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11,6%</w:t>
            </w:r>
          </w:p>
        </w:tc>
        <w:tc>
          <w:tcPr>
            <w:tcW w:w="459"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11,1%</w:t>
            </w:r>
          </w:p>
        </w:tc>
        <w:tc>
          <w:tcPr>
            <w:tcW w:w="456"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15,2%</w:t>
            </w:r>
          </w:p>
        </w:tc>
        <w:tc>
          <w:tcPr>
            <w:tcW w:w="532"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2,9%</w:t>
            </w:r>
          </w:p>
        </w:tc>
      </w:tr>
      <w:tr w:rsidR="00723DC9" w:rsidRPr="00723DC9"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Παρέμεινε σταθερό</w:t>
            </w:r>
          </w:p>
        </w:tc>
        <w:tc>
          <w:tcPr>
            <w:tcW w:w="490"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84,9%</w:t>
            </w:r>
          </w:p>
        </w:tc>
        <w:tc>
          <w:tcPr>
            <w:tcW w:w="558"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83,9%</w:t>
            </w:r>
          </w:p>
        </w:tc>
        <w:tc>
          <w:tcPr>
            <w:tcW w:w="46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76,7%</w:t>
            </w:r>
          </w:p>
        </w:tc>
        <w:tc>
          <w:tcPr>
            <w:tcW w:w="393"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91,0%</w:t>
            </w:r>
          </w:p>
        </w:tc>
        <w:tc>
          <w:tcPr>
            <w:tcW w:w="41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79,9%</w:t>
            </w:r>
          </w:p>
        </w:tc>
        <w:tc>
          <w:tcPr>
            <w:tcW w:w="425"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73,9%</w:t>
            </w:r>
          </w:p>
        </w:tc>
        <w:tc>
          <w:tcPr>
            <w:tcW w:w="459"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72,2%</w:t>
            </w:r>
          </w:p>
        </w:tc>
        <w:tc>
          <w:tcPr>
            <w:tcW w:w="456"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54,5%</w:t>
            </w:r>
          </w:p>
        </w:tc>
        <w:tc>
          <w:tcPr>
            <w:tcW w:w="532"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71,4%</w:t>
            </w:r>
          </w:p>
        </w:tc>
      </w:tr>
      <w:tr w:rsidR="00723DC9" w:rsidRPr="00723DC9" w:rsidTr="001B2706">
        <w:trPr>
          <w:trHeight w:val="300"/>
        </w:trPr>
        <w:tc>
          <w:tcPr>
            <w:tcW w:w="803"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 </w:t>
            </w:r>
          </w:p>
        </w:tc>
        <w:tc>
          <w:tcPr>
            <w:tcW w:w="1908" w:type="pct"/>
            <w:gridSpan w:val="4"/>
            <w:tcBorders>
              <w:top w:val="single" w:sz="4" w:space="0" w:color="auto"/>
              <w:left w:val="nil"/>
              <w:bottom w:val="single" w:sz="4" w:space="0" w:color="auto"/>
              <w:right w:val="single" w:sz="4" w:space="0" w:color="auto"/>
            </w:tcBorders>
            <w:shd w:val="clear" w:color="D9E1F2" w:fill="D9E1F2"/>
            <w:vAlign w:val="bottom"/>
            <w:hideMark/>
          </w:tcPr>
          <w:p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ΑΡΙΘΜΟΣ ΕΡΓΑΖΟΜΕΝΩΝ</w:t>
            </w:r>
          </w:p>
        </w:tc>
        <w:tc>
          <w:tcPr>
            <w:tcW w:w="1757" w:type="pct"/>
            <w:gridSpan w:val="4"/>
            <w:tcBorders>
              <w:top w:val="single" w:sz="4" w:space="0" w:color="auto"/>
              <w:left w:val="nil"/>
              <w:bottom w:val="single" w:sz="4" w:space="0" w:color="auto"/>
              <w:right w:val="single" w:sz="4" w:space="0" w:color="auto"/>
            </w:tcBorders>
            <w:shd w:val="clear" w:color="D9E1F2" w:fill="D9E1F2"/>
            <w:vAlign w:val="bottom"/>
            <w:hideMark/>
          </w:tcPr>
          <w:p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ΓΕΩΓΡΑΦΙΚΗ ΠΕΡΙΟΧΗ</w:t>
            </w:r>
          </w:p>
        </w:tc>
        <w:tc>
          <w:tcPr>
            <w:tcW w:w="532" w:type="pct"/>
            <w:tcBorders>
              <w:top w:val="nil"/>
              <w:left w:val="nil"/>
              <w:bottom w:val="single" w:sz="4" w:space="0" w:color="auto"/>
              <w:right w:val="single" w:sz="4" w:space="0" w:color="auto"/>
            </w:tcBorders>
            <w:shd w:val="clear" w:color="D9E1F2" w:fill="D9E1F2"/>
            <w:vAlign w:val="bottom"/>
            <w:hideMark/>
          </w:tcPr>
          <w:p w:rsidR="00723DC9" w:rsidRPr="00723DC9" w:rsidRDefault="00723DC9" w:rsidP="00700BFC">
            <w:pPr>
              <w:spacing w:after="0" w:line="360" w:lineRule="auto"/>
              <w:jc w:val="center"/>
              <w:rPr>
                <w:rFonts w:ascii="Calibri" w:eastAsia="Times New Roman" w:hAnsi="Calibri" w:cs="Calibri"/>
                <w:b/>
                <w:bCs/>
                <w:color w:val="000000"/>
                <w:sz w:val="16"/>
                <w:szCs w:val="16"/>
              </w:rPr>
            </w:pPr>
            <w:r w:rsidRPr="00723DC9">
              <w:rPr>
                <w:rFonts w:ascii="Calibri" w:eastAsia="Times New Roman" w:hAnsi="Calibri" w:cs="Calibri"/>
                <w:b/>
                <w:bCs/>
                <w:color w:val="000000"/>
                <w:sz w:val="16"/>
                <w:szCs w:val="16"/>
              </w:rPr>
              <w:t>ΥΠΟΚΛΑΔΟΣ</w:t>
            </w:r>
          </w:p>
        </w:tc>
      </w:tr>
      <w:tr w:rsidR="00723DC9" w:rsidRPr="00723DC9" w:rsidTr="001B2706">
        <w:trPr>
          <w:trHeight w:val="900"/>
        </w:trPr>
        <w:tc>
          <w:tcPr>
            <w:tcW w:w="803" w:type="pct"/>
            <w:vMerge/>
            <w:tcBorders>
              <w:top w:val="nil"/>
              <w:left w:val="single" w:sz="4" w:space="0" w:color="auto"/>
              <w:bottom w:val="single" w:sz="4" w:space="0" w:color="000000"/>
              <w:right w:val="single" w:sz="4" w:space="0" w:color="auto"/>
            </w:tcBorders>
            <w:vAlign w:val="center"/>
            <w:hideMark/>
          </w:tcPr>
          <w:p w:rsidR="00723DC9" w:rsidRPr="00723DC9" w:rsidRDefault="00723DC9" w:rsidP="00700BFC">
            <w:pPr>
              <w:spacing w:after="0" w:line="360" w:lineRule="auto"/>
              <w:rPr>
                <w:rFonts w:ascii="Calibri" w:eastAsia="Times New Roman" w:hAnsi="Calibri" w:cs="Calibri"/>
                <w:b/>
                <w:bCs/>
                <w:color w:val="000000"/>
                <w:sz w:val="16"/>
                <w:szCs w:val="16"/>
              </w:rPr>
            </w:pPr>
          </w:p>
        </w:tc>
        <w:tc>
          <w:tcPr>
            <w:tcW w:w="490"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Χωρίς προσωπικό</w:t>
            </w:r>
          </w:p>
        </w:tc>
        <w:tc>
          <w:tcPr>
            <w:tcW w:w="558"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1 έως 4</w:t>
            </w:r>
          </w:p>
        </w:tc>
        <w:tc>
          <w:tcPr>
            <w:tcW w:w="467"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5 έως 9</w:t>
            </w:r>
          </w:p>
        </w:tc>
        <w:tc>
          <w:tcPr>
            <w:tcW w:w="393"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10 έως 49</w:t>
            </w:r>
          </w:p>
        </w:tc>
        <w:tc>
          <w:tcPr>
            <w:tcW w:w="417"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EL3 ΑΤΤΙΚΗ</w:t>
            </w:r>
          </w:p>
        </w:tc>
        <w:tc>
          <w:tcPr>
            <w:tcW w:w="425"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EL5 ΒΟΡΕΙΑ ΕΛΛΑΔΑ</w:t>
            </w:r>
          </w:p>
        </w:tc>
        <w:tc>
          <w:tcPr>
            <w:tcW w:w="459"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EL6 ΚΕΝΤΡΙΚΗ ΕΛΛΑΔΑ</w:t>
            </w:r>
          </w:p>
        </w:tc>
        <w:tc>
          <w:tcPr>
            <w:tcW w:w="456"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EL4 ΝΗΣΙΑ ΑΙΓΑΙΟΥ &amp; ΚΡΗΤΗ</w:t>
            </w:r>
          </w:p>
        </w:tc>
        <w:tc>
          <w:tcPr>
            <w:tcW w:w="532" w:type="pct"/>
            <w:tcBorders>
              <w:top w:val="nil"/>
              <w:left w:val="nil"/>
              <w:bottom w:val="single" w:sz="4" w:space="0" w:color="auto"/>
              <w:right w:val="single" w:sz="4" w:space="0" w:color="auto"/>
            </w:tcBorders>
            <w:shd w:val="clear" w:color="D9E1F2" w:fill="D9E1F2"/>
            <w:vAlign w:val="bottom"/>
            <w:hideMark/>
          </w:tcPr>
          <w:p w:rsidR="00723DC9" w:rsidRPr="001B2706" w:rsidRDefault="00723DC9" w:rsidP="00700BFC">
            <w:pPr>
              <w:spacing w:after="0" w:line="360" w:lineRule="auto"/>
              <w:jc w:val="center"/>
              <w:rPr>
                <w:rFonts w:ascii="Calibri" w:eastAsia="Times New Roman" w:hAnsi="Calibri" w:cs="Calibri"/>
                <w:b/>
                <w:bCs/>
                <w:color w:val="000000"/>
                <w:sz w:val="14"/>
                <w:szCs w:val="14"/>
              </w:rPr>
            </w:pPr>
            <w:r w:rsidRPr="001B2706">
              <w:rPr>
                <w:rFonts w:ascii="Calibri" w:eastAsia="Times New Roman" w:hAnsi="Calibri" w:cs="Calibri"/>
                <w:b/>
                <w:bCs/>
                <w:color w:val="000000"/>
                <w:sz w:val="14"/>
                <w:szCs w:val="14"/>
              </w:rPr>
              <w:t>Εστίαση</w:t>
            </w:r>
          </w:p>
        </w:tc>
      </w:tr>
      <w:tr w:rsidR="00723DC9" w:rsidRPr="00723DC9"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Αυξήθηκε</w:t>
            </w:r>
          </w:p>
        </w:tc>
        <w:tc>
          <w:tcPr>
            <w:tcW w:w="490"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w:t>
            </w:r>
          </w:p>
        </w:tc>
        <w:tc>
          <w:tcPr>
            <w:tcW w:w="558"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7,7%</w:t>
            </w:r>
          </w:p>
        </w:tc>
        <w:tc>
          <w:tcPr>
            <w:tcW w:w="46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22,8%</w:t>
            </w:r>
          </w:p>
        </w:tc>
        <w:tc>
          <w:tcPr>
            <w:tcW w:w="393"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42,3%</w:t>
            </w:r>
          </w:p>
        </w:tc>
        <w:tc>
          <w:tcPr>
            <w:tcW w:w="41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7,2%</w:t>
            </w:r>
          </w:p>
        </w:tc>
        <w:tc>
          <w:tcPr>
            <w:tcW w:w="425"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8,8%</w:t>
            </w:r>
          </w:p>
        </w:tc>
        <w:tc>
          <w:tcPr>
            <w:tcW w:w="459"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8,5%</w:t>
            </w:r>
          </w:p>
        </w:tc>
        <w:tc>
          <w:tcPr>
            <w:tcW w:w="456"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18,3%</w:t>
            </w:r>
          </w:p>
        </w:tc>
        <w:tc>
          <w:tcPr>
            <w:tcW w:w="532"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23,3%</w:t>
            </w:r>
          </w:p>
        </w:tc>
      </w:tr>
      <w:tr w:rsidR="00723DC9" w:rsidRPr="00723DC9"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Μειώθηκε</w:t>
            </w:r>
          </w:p>
        </w:tc>
        <w:tc>
          <w:tcPr>
            <w:tcW w:w="490"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6,1%</w:t>
            </w:r>
          </w:p>
        </w:tc>
        <w:tc>
          <w:tcPr>
            <w:tcW w:w="558"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10,5%</w:t>
            </w:r>
          </w:p>
        </w:tc>
        <w:tc>
          <w:tcPr>
            <w:tcW w:w="46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7,9%</w:t>
            </w:r>
          </w:p>
        </w:tc>
        <w:tc>
          <w:tcPr>
            <w:tcW w:w="393"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9,6%</w:t>
            </w:r>
          </w:p>
        </w:tc>
        <w:tc>
          <w:tcPr>
            <w:tcW w:w="41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8,2%</w:t>
            </w:r>
          </w:p>
        </w:tc>
        <w:tc>
          <w:tcPr>
            <w:tcW w:w="425"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8,3%</w:t>
            </w:r>
          </w:p>
        </w:tc>
        <w:tc>
          <w:tcPr>
            <w:tcW w:w="459"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10,6%</w:t>
            </w:r>
          </w:p>
        </w:tc>
        <w:tc>
          <w:tcPr>
            <w:tcW w:w="456"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5,8%</w:t>
            </w:r>
          </w:p>
        </w:tc>
        <w:tc>
          <w:tcPr>
            <w:tcW w:w="532"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12,3%</w:t>
            </w:r>
          </w:p>
        </w:tc>
      </w:tr>
      <w:tr w:rsidR="00723DC9" w:rsidRPr="00723DC9" w:rsidTr="001B2706">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rPr>
                <w:rFonts w:ascii="Calibri" w:eastAsia="Times New Roman" w:hAnsi="Calibri" w:cs="Calibri"/>
                <w:color w:val="000000"/>
                <w:sz w:val="16"/>
                <w:szCs w:val="16"/>
              </w:rPr>
            </w:pPr>
            <w:r w:rsidRPr="00723DC9">
              <w:rPr>
                <w:rFonts w:ascii="Calibri" w:eastAsia="Times New Roman" w:hAnsi="Calibri" w:cs="Calibri"/>
                <w:color w:val="000000"/>
                <w:sz w:val="16"/>
                <w:szCs w:val="16"/>
              </w:rPr>
              <w:t>Παρέμεινε σταθερό</w:t>
            </w:r>
          </w:p>
        </w:tc>
        <w:tc>
          <w:tcPr>
            <w:tcW w:w="490"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w:t>
            </w:r>
          </w:p>
        </w:tc>
        <w:tc>
          <w:tcPr>
            <w:tcW w:w="558"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81,8%</w:t>
            </w:r>
          </w:p>
        </w:tc>
        <w:tc>
          <w:tcPr>
            <w:tcW w:w="46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68,3%</w:t>
            </w:r>
          </w:p>
        </w:tc>
        <w:tc>
          <w:tcPr>
            <w:tcW w:w="393"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48,1%</w:t>
            </w:r>
          </w:p>
        </w:tc>
        <w:tc>
          <w:tcPr>
            <w:tcW w:w="417"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83,8%</w:t>
            </w:r>
          </w:p>
        </w:tc>
        <w:tc>
          <w:tcPr>
            <w:tcW w:w="425"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82,9%</w:t>
            </w:r>
          </w:p>
        </w:tc>
        <w:tc>
          <w:tcPr>
            <w:tcW w:w="459"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81,0%</w:t>
            </w:r>
          </w:p>
        </w:tc>
        <w:tc>
          <w:tcPr>
            <w:tcW w:w="456"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73,1%</w:t>
            </w:r>
          </w:p>
        </w:tc>
        <w:tc>
          <w:tcPr>
            <w:tcW w:w="532" w:type="pct"/>
            <w:tcBorders>
              <w:top w:val="nil"/>
              <w:left w:val="nil"/>
              <w:bottom w:val="single" w:sz="4" w:space="0" w:color="auto"/>
              <w:right w:val="single" w:sz="4" w:space="0" w:color="auto"/>
            </w:tcBorders>
            <w:shd w:val="clear" w:color="auto" w:fill="auto"/>
            <w:noWrap/>
            <w:vAlign w:val="bottom"/>
            <w:hideMark/>
          </w:tcPr>
          <w:p w:rsidR="00723DC9" w:rsidRPr="00723DC9" w:rsidRDefault="00723DC9" w:rsidP="00700BFC">
            <w:pPr>
              <w:spacing w:after="0" w:line="360" w:lineRule="auto"/>
              <w:jc w:val="center"/>
              <w:rPr>
                <w:rFonts w:ascii="Calibri" w:eastAsia="Times New Roman" w:hAnsi="Calibri" w:cs="Calibri"/>
                <w:color w:val="000000"/>
                <w:sz w:val="16"/>
                <w:szCs w:val="16"/>
              </w:rPr>
            </w:pPr>
            <w:r w:rsidRPr="00723DC9">
              <w:rPr>
                <w:rFonts w:ascii="Calibri" w:eastAsia="Times New Roman" w:hAnsi="Calibri" w:cs="Calibri"/>
                <w:color w:val="000000"/>
                <w:sz w:val="16"/>
                <w:szCs w:val="16"/>
              </w:rPr>
              <w:t>63,0%</w:t>
            </w:r>
          </w:p>
        </w:tc>
      </w:tr>
    </w:tbl>
    <w:p w:rsidR="003653AC" w:rsidRDefault="003653AC" w:rsidP="00700BFC">
      <w:pPr>
        <w:spacing w:after="0" w:line="360" w:lineRule="auto"/>
        <w:ind w:left="360"/>
        <w:contextualSpacing/>
        <w:rPr>
          <w:rFonts w:ascii="Calibri" w:hAnsi="Calibri" w:cs="Calibri"/>
          <w:b/>
          <w:sz w:val="24"/>
          <w:szCs w:val="24"/>
          <w:u w:val="single"/>
        </w:rPr>
      </w:pPr>
    </w:p>
    <w:p w:rsidR="003653AC" w:rsidRPr="003653AC" w:rsidRDefault="003653AC" w:rsidP="00700BFC">
      <w:pPr>
        <w:spacing w:after="0" w:line="360" w:lineRule="auto"/>
        <w:ind w:left="360"/>
        <w:contextualSpacing/>
        <w:rPr>
          <w:rFonts w:ascii="Calibri" w:hAnsi="Calibri" w:cs="Calibri"/>
          <w:b/>
          <w:sz w:val="24"/>
          <w:szCs w:val="24"/>
          <w:u w:val="single"/>
        </w:rPr>
      </w:pPr>
    </w:p>
    <w:p w:rsidR="00817AE2" w:rsidRPr="00817AE2" w:rsidRDefault="00817AE2" w:rsidP="00700BFC">
      <w:pPr>
        <w:numPr>
          <w:ilvl w:val="0"/>
          <w:numId w:val="4"/>
        </w:numPr>
        <w:spacing w:after="0" w:line="360" w:lineRule="auto"/>
        <w:contextualSpacing/>
        <w:rPr>
          <w:rFonts w:ascii="Calibri" w:hAnsi="Calibri" w:cs="Calibri"/>
          <w:b/>
          <w:sz w:val="24"/>
          <w:szCs w:val="24"/>
          <w:u w:val="single"/>
        </w:rPr>
      </w:pPr>
      <w:r w:rsidRPr="00817AE2">
        <w:rPr>
          <w:rFonts w:ascii="Calibri" w:hAnsi="Calibri" w:cs="Calibri"/>
          <w:b/>
          <w:sz w:val="24"/>
          <w:szCs w:val="24"/>
          <w:u w:val="single"/>
        </w:rPr>
        <w:lastRenderedPageBreak/>
        <w:t>Επενδύσεις</w:t>
      </w:r>
    </w:p>
    <w:p w:rsidR="007477B1" w:rsidRPr="007477B1" w:rsidRDefault="007477B1" w:rsidP="00700BFC">
      <w:pPr>
        <w:spacing w:after="0" w:line="360" w:lineRule="auto"/>
        <w:jc w:val="both"/>
        <w:rPr>
          <w:rFonts w:cstheme="minorHAnsi"/>
          <w:sz w:val="24"/>
          <w:szCs w:val="24"/>
        </w:rPr>
      </w:pPr>
      <w:r w:rsidRPr="007477B1">
        <w:rPr>
          <w:rFonts w:cstheme="minorHAnsi"/>
          <w:sz w:val="24"/>
          <w:szCs w:val="24"/>
        </w:rPr>
        <w:t xml:space="preserve">Οι επενδύσεις εξακολουθούν να αποτελούν τον μεγάλο ασθενή της ελληνικής οικονομίας αφού εδώ και μία δεκαετία ο ακαθάριστος σχηματισμός παγίου κεφαλαίου υπολείπεται των αποσβέσεων γεγονός το οποίο συνεπάγεται πραγματική </w:t>
      </w:r>
      <w:r w:rsidR="003653AC">
        <w:rPr>
          <w:rFonts w:cstheme="minorHAnsi"/>
          <w:sz w:val="24"/>
          <w:szCs w:val="24"/>
        </w:rPr>
        <w:t>από-</w:t>
      </w:r>
      <w:r w:rsidRPr="007477B1">
        <w:rPr>
          <w:rFonts w:cstheme="minorHAnsi"/>
          <w:sz w:val="24"/>
          <w:szCs w:val="24"/>
        </w:rPr>
        <w:t xml:space="preserve">επένδυση και επιδείνωση της </w:t>
      </w:r>
      <w:r w:rsidR="003653AC" w:rsidRPr="007477B1">
        <w:rPr>
          <w:rFonts w:cstheme="minorHAnsi"/>
          <w:sz w:val="24"/>
          <w:szCs w:val="24"/>
        </w:rPr>
        <w:t>παραγωγικότητας</w:t>
      </w:r>
      <w:r w:rsidRPr="007477B1">
        <w:rPr>
          <w:rFonts w:cstheme="minorHAnsi"/>
          <w:sz w:val="24"/>
          <w:szCs w:val="24"/>
        </w:rPr>
        <w:t xml:space="preserve"> και της ανταγωνιστικότητας της ελληνικής οικονομίας. Με βάση τα στοιχεία της ΕΛΣΤΑΤ, από το 1ο εξάμηνο του 2021 διαφαίνεται μία αύξηση των επενδύσεων κυρίως σε μηχανολογικό και μεταφορικό εξοπλισμό και μένει να δούμε κατά πόσο αυτή η τάση θα είναι διατηρήσιμη. </w:t>
      </w:r>
    </w:p>
    <w:p w:rsidR="00817AE2" w:rsidRPr="001B2706" w:rsidRDefault="007477B1" w:rsidP="00700BFC">
      <w:pPr>
        <w:spacing w:after="0" w:line="360" w:lineRule="auto"/>
        <w:jc w:val="both"/>
        <w:rPr>
          <w:rFonts w:cstheme="minorHAnsi"/>
          <w:sz w:val="24"/>
          <w:szCs w:val="24"/>
        </w:rPr>
      </w:pPr>
      <w:r w:rsidRPr="007477B1">
        <w:rPr>
          <w:rFonts w:cstheme="minorHAnsi"/>
          <w:sz w:val="24"/>
          <w:szCs w:val="24"/>
        </w:rPr>
        <w:t>Από την έρε</w:t>
      </w:r>
      <w:r>
        <w:rPr>
          <w:rFonts w:cstheme="minorHAnsi"/>
          <w:sz w:val="24"/>
          <w:szCs w:val="24"/>
        </w:rPr>
        <w:t xml:space="preserve">υνα </w:t>
      </w:r>
      <w:r w:rsidRPr="007477B1">
        <w:rPr>
          <w:rFonts w:cstheme="minorHAnsi"/>
          <w:sz w:val="24"/>
          <w:szCs w:val="24"/>
        </w:rPr>
        <w:t>προκύπτει</w:t>
      </w:r>
      <w:r>
        <w:rPr>
          <w:rFonts w:cstheme="minorHAnsi"/>
          <w:sz w:val="24"/>
          <w:szCs w:val="24"/>
        </w:rPr>
        <w:t xml:space="preserve"> </w:t>
      </w:r>
      <w:r w:rsidRPr="007477B1">
        <w:rPr>
          <w:rFonts w:cstheme="minorHAnsi"/>
          <w:sz w:val="24"/>
          <w:szCs w:val="24"/>
        </w:rPr>
        <w:t xml:space="preserve">ότι το 29,8% των </w:t>
      </w:r>
      <w:r>
        <w:rPr>
          <w:rFonts w:cstheme="minorHAnsi"/>
          <w:sz w:val="24"/>
          <w:szCs w:val="24"/>
        </w:rPr>
        <w:t xml:space="preserve">μικρών και πολύ μικρών </w:t>
      </w:r>
      <w:r w:rsidRPr="007477B1">
        <w:rPr>
          <w:rFonts w:cstheme="minorHAnsi"/>
          <w:sz w:val="24"/>
          <w:szCs w:val="24"/>
        </w:rPr>
        <w:t xml:space="preserve">επιχειρήσεων πραγματοποίησε κάποια μορφής επένδυση κατά το πρώτο εξάμηνο του 2022. Όσον αφορά </w:t>
      </w:r>
      <w:r w:rsidR="003653AC">
        <w:rPr>
          <w:rFonts w:cstheme="minorHAnsi"/>
          <w:sz w:val="24"/>
          <w:szCs w:val="24"/>
        </w:rPr>
        <w:t>τους τύπους</w:t>
      </w:r>
      <w:r w:rsidRPr="007477B1">
        <w:rPr>
          <w:rFonts w:cstheme="minorHAnsi"/>
          <w:sz w:val="24"/>
          <w:szCs w:val="24"/>
        </w:rPr>
        <w:t xml:space="preserve"> των επενδύσεων, αυτές αφορούν κατά κύριο λόγο σε τεχνολογικό και ψηφιακό εξοπλισμό, κάτι το οποίο καταδεικνύει ότι η ροπή ψηφιοποίησης της ελληνικής οικονομίας που επιταχύνθηκε κατά τη διάρκεια της πανδημίας συνεχίζεται. Συγκεκριμένα, όπως φαίνεται στο Γράφημα 9, το 17,9% δήλωσε ότι πραγματοποίησε επενδύσεις σε «Τεχνολογικό εξοπλισμό και ψηφιακές τεχνολογίες». Ακολουθούν οι  επενδύσεις σε «Μηχανολογικό εξοπλισμό και λοιπά μηχανήματα» (13,7%), οι επενδύσεις σε «Κτιριακές εγκαταστάσεις και λοιπό εξοπλισμό» (8,1%) και  οι</w:t>
      </w:r>
      <w:r w:rsidR="0031121B">
        <w:rPr>
          <w:rFonts w:cstheme="minorHAnsi"/>
          <w:sz w:val="24"/>
          <w:szCs w:val="24"/>
        </w:rPr>
        <w:t xml:space="preserve"> </w:t>
      </w:r>
      <w:r w:rsidR="0031121B" w:rsidRPr="007477B1">
        <w:rPr>
          <w:rFonts w:cstheme="minorHAnsi"/>
          <w:sz w:val="24"/>
          <w:szCs w:val="24"/>
        </w:rPr>
        <w:t>επενδύσεις</w:t>
      </w:r>
      <w:r w:rsidRPr="007477B1">
        <w:rPr>
          <w:rFonts w:cstheme="minorHAnsi"/>
          <w:sz w:val="24"/>
          <w:szCs w:val="24"/>
        </w:rPr>
        <w:t xml:space="preserve"> σε «Κατάρτιση και εκπαίδευση προσωπικού» (5,6%).</w:t>
      </w:r>
      <w:r w:rsidR="001B2706">
        <w:rPr>
          <w:rFonts w:cstheme="minorHAnsi"/>
          <w:sz w:val="24"/>
          <w:szCs w:val="24"/>
        </w:rPr>
        <w:t xml:space="preserve">   </w:t>
      </w:r>
    </w:p>
    <w:p w:rsidR="00817AE2" w:rsidRPr="00817AE2" w:rsidRDefault="00B6363E" w:rsidP="00700BFC">
      <w:pPr>
        <w:spacing w:after="0" w:line="360" w:lineRule="auto"/>
        <w:jc w:val="both"/>
        <w:rPr>
          <w:rFonts w:ascii="Calibri" w:hAnsi="Calibri" w:cs="Calibri"/>
          <w:sz w:val="24"/>
          <w:szCs w:val="24"/>
        </w:rPr>
      </w:pPr>
      <w:r>
        <w:rPr>
          <w:noProof/>
        </w:rPr>
        <w:drawing>
          <wp:inline distT="0" distB="0" distL="0" distR="0" wp14:anchorId="0BE71FBB" wp14:editId="3CB90E51">
            <wp:extent cx="6657975" cy="2743200"/>
            <wp:effectExtent l="0" t="0" r="9525" b="19050"/>
            <wp:docPr id="40" name="Γράφημα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7AE2" w:rsidRPr="001B2706" w:rsidRDefault="0031121B" w:rsidP="00700BFC">
      <w:pPr>
        <w:spacing w:after="0" w:line="360" w:lineRule="auto"/>
        <w:jc w:val="both"/>
        <w:rPr>
          <w:rFonts w:cstheme="minorHAnsi"/>
          <w:sz w:val="24"/>
          <w:szCs w:val="24"/>
        </w:rPr>
      </w:pPr>
      <w:r w:rsidRPr="0031121B">
        <w:rPr>
          <w:rFonts w:cstheme="minorHAnsi"/>
          <w:sz w:val="24"/>
          <w:szCs w:val="24"/>
        </w:rPr>
        <w:t>Το Γράφημα 10 αποτυπώνει τις πραγματοποιηθείσες επενδύσεις σε επίπεδο κλάδου. Όπως φαίνεται, στον κλάδο του εμπορίου καταγράφεται το υψηλότερο ποσοστό (23,1%) επενδύσεων στην κατηγορία «Τεχνολογικός εξοπλισμός και ψηφιακές τεχνολογίες» κάτι το οποίο είναι αναμενόμενο δεδομένου ότι η ενσωμάτωση των επιχειρήσεων του κλάδου στο ηλεκτρονικό εμπόριο προϋποθέτει τέτοιου είδους επενδύσεις. Ακολουθούν οι επενδύσεις σε μηχανολογικό εξοπλισμό (10,4%)</w:t>
      </w:r>
      <w:r w:rsidR="003653AC">
        <w:rPr>
          <w:rFonts w:cstheme="minorHAnsi"/>
          <w:sz w:val="24"/>
          <w:szCs w:val="24"/>
        </w:rPr>
        <w:t>,</w:t>
      </w:r>
      <w:r w:rsidRPr="0031121B">
        <w:rPr>
          <w:rFonts w:cstheme="minorHAnsi"/>
          <w:sz w:val="24"/>
          <w:szCs w:val="24"/>
        </w:rPr>
        <w:t xml:space="preserve"> οι επενδύσεις σε κτιριακές εγκαταστάσεις και λοιπό εξοπλισμό (8%) και οι επενδύσεις για κατάρτιση και εκπαίδευση προσωπικού </w:t>
      </w:r>
      <w:r w:rsidRPr="0031121B">
        <w:rPr>
          <w:rFonts w:cstheme="minorHAnsi"/>
          <w:sz w:val="24"/>
          <w:szCs w:val="24"/>
        </w:rPr>
        <w:lastRenderedPageBreak/>
        <w:t>(4,7%). Στον τομέα της μεταποίησης η εικόνα είναι κάπως διαφορετική αφού πρωτοστατούν οι επενδύσεις σε μηχανολογικό εξοπλισμό (14%) και έπονται οι επενδύσεις σε τεχνολογικό και ψηφιακό εξοπλισμό (10,9%) ενώ οι επενδύσεις σε κτιριακές εγκαταστάσεις και κατάρτιση – εκπαίδευση προσωπικού συγκεντρώνουν 4,7% και 2,1% αντίστοιχα. Τέλος στον τομέα των υπηρεσιών οι επενδύσεις σε τεχνολογικό και μηχανολογικό εξοπλισμό συγκεντρώνουν περίπου ίδια ποσοστά (17,2% έναντι 16,8% αντίστοιχα) και ακολουθούν οι επενδύσεις σε κτιριακό εξοπλισμό (10,4%) και κατάρτιση</w:t>
      </w:r>
      <w:r w:rsidR="001B2706">
        <w:rPr>
          <w:rFonts w:cstheme="minorHAnsi"/>
          <w:sz w:val="24"/>
          <w:szCs w:val="24"/>
        </w:rPr>
        <w:t xml:space="preserve"> – εκπαίδευση προσωπικού (8,7%)</w:t>
      </w:r>
      <w:r w:rsidR="001B2706" w:rsidRPr="001B2706">
        <w:rPr>
          <w:rFonts w:cstheme="minorHAnsi"/>
          <w:sz w:val="24"/>
          <w:szCs w:val="24"/>
        </w:rPr>
        <w:t>.</w:t>
      </w:r>
    </w:p>
    <w:p w:rsidR="00817AE2" w:rsidRPr="00817AE2" w:rsidRDefault="008662EF" w:rsidP="00700BFC">
      <w:pPr>
        <w:spacing w:after="0" w:line="240" w:lineRule="auto"/>
        <w:rPr>
          <w:rFonts w:ascii="Calibri Light" w:hAnsi="Calibri Light" w:cs="Calibri Light"/>
        </w:rPr>
      </w:pPr>
      <w:r>
        <w:rPr>
          <w:noProof/>
        </w:rPr>
        <w:drawing>
          <wp:inline distT="0" distB="0" distL="0" distR="0" wp14:anchorId="22671AE9" wp14:editId="68801C2E">
            <wp:extent cx="6524625" cy="3019425"/>
            <wp:effectExtent l="0" t="0" r="9525" b="9525"/>
            <wp:docPr id="7" name="Γράφημα 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7AE2" w:rsidRPr="00817AE2" w:rsidRDefault="00817AE2" w:rsidP="00700BFC">
      <w:pPr>
        <w:spacing w:after="0" w:line="240" w:lineRule="auto"/>
        <w:rPr>
          <w:rFonts w:ascii="Calibri Light" w:hAnsi="Calibri Light" w:cs="Calibri Light"/>
        </w:rPr>
      </w:pPr>
    </w:p>
    <w:p w:rsidR="0031121B" w:rsidRPr="0031121B" w:rsidRDefault="0031121B" w:rsidP="00700BFC">
      <w:pPr>
        <w:spacing w:after="0" w:line="360" w:lineRule="auto"/>
        <w:jc w:val="both"/>
        <w:rPr>
          <w:rFonts w:cstheme="minorHAnsi"/>
          <w:sz w:val="24"/>
          <w:szCs w:val="24"/>
        </w:rPr>
      </w:pPr>
      <w:r w:rsidRPr="0031121B">
        <w:rPr>
          <w:rFonts w:cstheme="minorHAnsi"/>
          <w:sz w:val="24"/>
          <w:szCs w:val="24"/>
        </w:rPr>
        <w:t xml:space="preserve">Στα επόμενο δύο γραφήματα εξετάζεται η σχέση μεταξύ των επενδύσεων και του μεγέθους των επιχειρήσεων σε όρους αριθμού εργαζομένων και κύκλου εργασιών και όπως είναι αναμενόμενο η σχέση αυτή είναι θετική. </w:t>
      </w:r>
    </w:p>
    <w:p w:rsidR="00817AE2" w:rsidRPr="001B2706" w:rsidRDefault="0031121B" w:rsidP="00700BFC">
      <w:pPr>
        <w:spacing w:after="0" w:line="360" w:lineRule="auto"/>
        <w:jc w:val="both"/>
        <w:rPr>
          <w:rFonts w:cstheme="minorHAnsi"/>
          <w:sz w:val="24"/>
          <w:szCs w:val="24"/>
        </w:rPr>
      </w:pPr>
      <w:r w:rsidRPr="0031121B">
        <w:rPr>
          <w:rFonts w:cstheme="minorHAnsi"/>
          <w:sz w:val="24"/>
          <w:szCs w:val="24"/>
        </w:rPr>
        <w:t xml:space="preserve">Συγκεκριμένα, το Γράφημα 11 αποτυπώνει τις επενδύσεις σε σχέση με τον αριθμό εργαζομένων των επιχειρήσεων και όπως γίνεται εμφανές, οι επιχειρήσεις με υψηλότερο αριθμό εργαζομένων επενδύουν σε υψηλότερο ποσοστό σε όλες σχεδόν τις κατηγορίες και ιδιαίτερα στην κατηγορία «Τεχνολογικός εξοπλισμός και ψηφιακές τεχνολογίες» και στην κατηγορία  «Μηχανολογικός εξοπλισμός και λοιπά μηχανήματα». Ειδικότερα, το 26,9% των επιχειρήσεων με </w:t>
      </w:r>
      <w:r w:rsidR="00540E4B">
        <w:rPr>
          <w:rFonts w:cstheme="minorHAnsi"/>
          <w:sz w:val="24"/>
          <w:szCs w:val="24"/>
        </w:rPr>
        <w:t>10 έως 49 εργαζόμενους, δήλωσε ότι πραγματοποίησε</w:t>
      </w:r>
      <w:r w:rsidRPr="0031121B">
        <w:rPr>
          <w:rFonts w:cstheme="minorHAnsi"/>
          <w:sz w:val="24"/>
          <w:szCs w:val="24"/>
        </w:rPr>
        <w:t xml:space="preserve"> επενδύσεις σε «Τεχνολογικό εξοπλισμό και ψηφιακές τεχνολογίες», ενώ το 34,6% στην κατηγορία «Μηχανολογικός εξοπλισμός και λοιπά μηχανήματα». Το 17,8% των επιχειρήσεων </w:t>
      </w:r>
      <w:r w:rsidR="00540E4B">
        <w:rPr>
          <w:rFonts w:cstheme="minorHAnsi"/>
          <w:sz w:val="24"/>
          <w:szCs w:val="24"/>
        </w:rPr>
        <w:t>με 5 έως 9 εργαζόμενους, δήλωσε ότι πραγματοποίησε</w:t>
      </w:r>
      <w:r w:rsidRPr="0031121B">
        <w:rPr>
          <w:rFonts w:cstheme="minorHAnsi"/>
          <w:sz w:val="24"/>
          <w:szCs w:val="24"/>
        </w:rPr>
        <w:t xml:space="preserve"> επενδύσεις στο πεδίο «Τεχνολογικός εξοπλισμός και ψηφιακές τεχνολογίες» και το 19,8% στο πεδίο «Μηχανολογικός εξοπλισμός και λοιπά μηχανήματα». </w:t>
      </w:r>
      <w:r w:rsidRPr="0031121B">
        <w:rPr>
          <w:rFonts w:cstheme="minorHAnsi"/>
          <w:sz w:val="24"/>
          <w:szCs w:val="24"/>
        </w:rPr>
        <w:lastRenderedPageBreak/>
        <w:t>Αξίζει να σημειωθεί ότι σχετικά υψ</w:t>
      </w:r>
      <w:r w:rsidR="00540E4B">
        <w:rPr>
          <w:rFonts w:cstheme="minorHAnsi"/>
          <w:sz w:val="24"/>
          <w:szCs w:val="24"/>
        </w:rPr>
        <w:t>ηλό ποσοστό καταγράφεται</w:t>
      </w:r>
      <w:r w:rsidRPr="0031121B">
        <w:rPr>
          <w:rFonts w:cstheme="minorHAnsi"/>
          <w:sz w:val="24"/>
          <w:szCs w:val="24"/>
        </w:rPr>
        <w:t xml:space="preserve"> και για τις επιχειρήσεις με 1 έως 4 εργαζόμενους σε επενδύσεις στο πεδίο «Τεχνολογικός εξοπλισμός και ψηφιακές τεχνολογίες» (20,9%).</w:t>
      </w:r>
    </w:p>
    <w:p w:rsidR="00817AE2" w:rsidRPr="00817AE2" w:rsidRDefault="00817AE2" w:rsidP="00700BFC">
      <w:pPr>
        <w:spacing w:after="0" w:line="240" w:lineRule="auto"/>
        <w:jc w:val="both"/>
        <w:rPr>
          <w:rFonts w:ascii="Calibri Light" w:hAnsi="Calibri Light" w:cs="Calibri Light"/>
        </w:rPr>
      </w:pPr>
    </w:p>
    <w:p w:rsidR="00817AE2" w:rsidRPr="00817AE2" w:rsidRDefault="008662EF" w:rsidP="00700BFC">
      <w:pPr>
        <w:spacing w:after="0" w:line="240" w:lineRule="auto"/>
        <w:jc w:val="both"/>
        <w:rPr>
          <w:rFonts w:ascii="Calibri Light" w:hAnsi="Calibri Light" w:cs="Calibri Light"/>
        </w:rPr>
      </w:pPr>
      <w:r>
        <w:rPr>
          <w:noProof/>
        </w:rPr>
        <w:drawing>
          <wp:inline distT="0" distB="0" distL="0" distR="0" wp14:anchorId="15C6121D" wp14:editId="6AB1B09C">
            <wp:extent cx="6505575" cy="3362325"/>
            <wp:effectExtent l="0" t="0" r="9525" b="9525"/>
            <wp:docPr id="8" name="Γράφημα 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2706" w:rsidRDefault="001B2706" w:rsidP="00700BFC">
      <w:pPr>
        <w:spacing w:after="0" w:line="360" w:lineRule="auto"/>
        <w:jc w:val="both"/>
        <w:rPr>
          <w:rFonts w:cstheme="minorHAnsi"/>
          <w:sz w:val="24"/>
          <w:szCs w:val="24"/>
          <w:lang w:val="en-US"/>
        </w:rPr>
      </w:pPr>
    </w:p>
    <w:p w:rsidR="0031121B" w:rsidRPr="0031121B" w:rsidRDefault="0031121B" w:rsidP="00700BFC">
      <w:pPr>
        <w:spacing w:after="0" w:line="360" w:lineRule="auto"/>
        <w:jc w:val="both"/>
        <w:rPr>
          <w:rFonts w:cstheme="minorHAnsi"/>
          <w:sz w:val="24"/>
          <w:szCs w:val="24"/>
        </w:rPr>
      </w:pPr>
      <w:r w:rsidRPr="0031121B">
        <w:rPr>
          <w:rFonts w:cstheme="minorHAnsi"/>
          <w:sz w:val="24"/>
          <w:szCs w:val="24"/>
        </w:rPr>
        <w:t>Το Γράφημα 12 αποτυπώνει, αντίστοιχα, την κατανομή των επενδύσεων σε σχέση με τον κύκλο εργασιών. Οι επιχειρήσεις με υψηλότερο κύκλο εργασιών πραγματοποιούν επενδύσεις σε υψηλότερο βαθμό. Για παράδειγμα, το 42,9% των επιχειρήσεων με κύκλο εργασιών</w:t>
      </w:r>
      <w:r w:rsidR="00540E4B">
        <w:rPr>
          <w:rFonts w:cstheme="minorHAnsi"/>
          <w:sz w:val="24"/>
          <w:szCs w:val="24"/>
        </w:rPr>
        <w:t xml:space="preserve"> άνω του 1.000.000 ευρώ, δήλωσε ότι πραγματοποίησε</w:t>
      </w:r>
      <w:r w:rsidRPr="0031121B">
        <w:rPr>
          <w:rFonts w:cstheme="minorHAnsi"/>
          <w:sz w:val="24"/>
          <w:szCs w:val="24"/>
        </w:rPr>
        <w:t xml:space="preserve"> επενδύσεις τόσο για </w:t>
      </w:r>
      <w:r w:rsidR="003653AC">
        <w:rPr>
          <w:rFonts w:cstheme="minorHAnsi"/>
          <w:sz w:val="24"/>
          <w:szCs w:val="24"/>
        </w:rPr>
        <w:t>«</w:t>
      </w:r>
      <w:r w:rsidRPr="0031121B">
        <w:rPr>
          <w:rFonts w:cstheme="minorHAnsi"/>
          <w:sz w:val="24"/>
          <w:szCs w:val="24"/>
        </w:rPr>
        <w:t>Τεχνολογικό εξοπλισμό και ψηφιακές τεχνολογίες</w:t>
      </w:r>
      <w:r w:rsidR="003653AC">
        <w:rPr>
          <w:rFonts w:cstheme="minorHAnsi"/>
          <w:sz w:val="24"/>
          <w:szCs w:val="24"/>
        </w:rPr>
        <w:t xml:space="preserve">», όσο </w:t>
      </w:r>
      <w:r w:rsidRPr="0031121B">
        <w:rPr>
          <w:rFonts w:cstheme="minorHAnsi"/>
          <w:sz w:val="24"/>
          <w:szCs w:val="24"/>
        </w:rPr>
        <w:t xml:space="preserve">και για </w:t>
      </w:r>
      <w:r w:rsidR="003653AC">
        <w:rPr>
          <w:rFonts w:cstheme="minorHAnsi"/>
          <w:sz w:val="24"/>
          <w:szCs w:val="24"/>
        </w:rPr>
        <w:t>«</w:t>
      </w:r>
      <w:r w:rsidRPr="0031121B">
        <w:rPr>
          <w:rFonts w:cstheme="minorHAnsi"/>
          <w:sz w:val="24"/>
          <w:szCs w:val="24"/>
        </w:rPr>
        <w:t>Μηχανολογικό εξοπλισμό και λοιπά μηχανήματα</w:t>
      </w:r>
      <w:r w:rsidR="003653AC">
        <w:rPr>
          <w:rFonts w:cstheme="minorHAnsi"/>
          <w:sz w:val="24"/>
          <w:szCs w:val="24"/>
        </w:rPr>
        <w:t>»</w:t>
      </w:r>
      <w:r w:rsidRPr="0031121B">
        <w:rPr>
          <w:rFonts w:cstheme="minorHAnsi"/>
          <w:sz w:val="24"/>
          <w:szCs w:val="24"/>
        </w:rPr>
        <w:t>. Αντίστοιχα, 27,3% και 30,3% των επιχειρήσεων με κύκλο εργασιών 500.001</w:t>
      </w:r>
      <w:r w:rsidR="003653AC">
        <w:rPr>
          <w:rFonts w:cstheme="minorHAnsi"/>
          <w:sz w:val="24"/>
          <w:szCs w:val="24"/>
        </w:rPr>
        <w:t>-1.000.000 ευρώ, πραγματοποίησε</w:t>
      </w:r>
      <w:r w:rsidRPr="0031121B">
        <w:rPr>
          <w:rFonts w:cstheme="minorHAnsi"/>
          <w:sz w:val="24"/>
          <w:szCs w:val="24"/>
        </w:rPr>
        <w:t xml:space="preserve"> επενδύσεις για </w:t>
      </w:r>
      <w:r w:rsidR="003653AC">
        <w:rPr>
          <w:rFonts w:cstheme="minorHAnsi"/>
          <w:sz w:val="24"/>
          <w:szCs w:val="24"/>
        </w:rPr>
        <w:t>«</w:t>
      </w:r>
      <w:r w:rsidRPr="0031121B">
        <w:rPr>
          <w:rFonts w:cstheme="minorHAnsi"/>
          <w:sz w:val="24"/>
          <w:szCs w:val="24"/>
        </w:rPr>
        <w:t>Τεχνολογικό εξοπλισμό και ψηφιακές τεχνολογίες</w:t>
      </w:r>
      <w:r w:rsidR="003653AC">
        <w:rPr>
          <w:rFonts w:cstheme="minorHAnsi"/>
          <w:sz w:val="24"/>
          <w:szCs w:val="24"/>
        </w:rPr>
        <w:t>»</w:t>
      </w:r>
      <w:r w:rsidRPr="0031121B">
        <w:rPr>
          <w:rFonts w:cstheme="minorHAnsi"/>
          <w:sz w:val="24"/>
          <w:szCs w:val="24"/>
        </w:rPr>
        <w:t xml:space="preserve"> και </w:t>
      </w:r>
      <w:r w:rsidR="003653AC">
        <w:rPr>
          <w:rFonts w:cstheme="minorHAnsi"/>
          <w:sz w:val="24"/>
          <w:szCs w:val="24"/>
        </w:rPr>
        <w:t>«</w:t>
      </w:r>
      <w:r w:rsidRPr="0031121B">
        <w:rPr>
          <w:rFonts w:cstheme="minorHAnsi"/>
          <w:sz w:val="24"/>
          <w:szCs w:val="24"/>
        </w:rPr>
        <w:t>Μηχανολογικό εξοπλισμό και λοιπά μηχανήματα</w:t>
      </w:r>
      <w:r w:rsidR="003653AC">
        <w:rPr>
          <w:rFonts w:cstheme="minorHAnsi"/>
          <w:sz w:val="24"/>
          <w:szCs w:val="24"/>
        </w:rPr>
        <w:t>»</w:t>
      </w:r>
      <w:r w:rsidRPr="0031121B">
        <w:rPr>
          <w:rFonts w:cstheme="minorHAnsi"/>
          <w:sz w:val="24"/>
          <w:szCs w:val="24"/>
        </w:rPr>
        <w:t xml:space="preserve"> αντίστοιχα. </w:t>
      </w:r>
    </w:p>
    <w:p w:rsidR="00817AE2" w:rsidRPr="0031121B" w:rsidRDefault="0031121B" w:rsidP="00700BFC">
      <w:pPr>
        <w:spacing w:after="0" w:line="360" w:lineRule="auto"/>
        <w:jc w:val="both"/>
        <w:rPr>
          <w:rFonts w:cstheme="minorHAnsi"/>
          <w:sz w:val="24"/>
          <w:szCs w:val="24"/>
        </w:rPr>
      </w:pPr>
      <w:r w:rsidRPr="0031121B">
        <w:rPr>
          <w:rFonts w:cstheme="minorHAnsi"/>
          <w:sz w:val="24"/>
          <w:szCs w:val="24"/>
        </w:rPr>
        <w:t>Στον αντίποδα</w:t>
      </w:r>
      <w:r w:rsidR="003653AC">
        <w:rPr>
          <w:rFonts w:cstheme="minorHAnsi"/>
          <w:sz w:val="24"/>
          <w:szCs w:val="24"/>
        </w:rPr>
        <w:t>,</w:t>
      </w:r>
      <w:r w:rsidRPr="0031121B">
        <w:rPr>
          <w:rFonts w:cstheme="minorHAnsi"/>
          <w:sz w:val="24"/>
          <w:szCs w:val="24"/>
        </w:rPr>
        <w:t xml:space="preserve"> οι επιχειρήσεις με χαμηλότερο κύκλο εργασιών, εμφανίζουν χαμηλότερη δυναμική ως προς τις επενδύσεις. Για παράδειγμα, το 17,2% των επιχειρήσεων με κύκλο εργασιών 50.001-100.000 ευρώ, δήλωσε ότι πραγματοποίησε επενδύσεις στο πεδίο «Τεχνολογικός εξοπλισμός και ψηφιακές τεχνολογίες», και το 7,5% στο πεδίο «Μηχανολογικός εξοπλισμός και λοιπά μηχανήματα».  Επιπλέον, το 13,2% των επιχειρήσεων με κύκλο εργασιών έως 50.000 ευρώ, δήλωσε ότι πραγματοποίησε επενδύσεις στο πεδίο «Τεχνολογικός εξοπλισμός και ψηφιακές τεχνολογίες» και το 8,4% στο πεδίο «Μηχανολογικός εξοπλισμός και λοιπά μηχανήματα».     </w:t>
      </w:r>
    </w:p>
    <w:p w:rsidR="00817AE2" w:rsidRPr="00817AE2" w:rsidRDefault="001B2706" w:rsidP="00700BFC">
      <w:pPr>
        <w:spacing w:after="0" w:line="240" w:lineRule="auto"/>
        <w:jc w:val="both"/>
        <w:rPr>
          <w:rFonts w:ascii="Calibri Light" w:hAnsi="Calibri Light" w:cs="Calibri Light"/>
        </w:rPr>
      </w:pPr>
      <w:r>
        <w:rPr>
          <w:noProof/>
        </w:rPr>
        <w:lastRenderedPageBreak/>
        <w:drawing>
          <wp:inline distT="0" distB="0" distL="0" distR="0" wp14:anchorId="3DD134DA" wp14:editId="1DE5636B">
            <wp:extent cx="6648450" cy="3848100"/>
            <wp:effectExtent l="0" t="0" r="19050" b="19050"/>
            <wp:docPr id="9" name="Γράφημα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7AE2" w:rsidRPr="00817AE2" w:rsidRDefault="00817AE2" w:rsidP="00700BFC">
      <w:pPr>
        <w:spacing w:after="0" w:line="240" w:lineRule="auto"/>
        <w:jc w:val="both"/>
        <w:rPr>
          <w:rFonts w:ascii="Calibri Light" w:hAnsi="Calibri Light" w:cs="Calibri Light"/>
        </w:rPr>
      </w:pPr>
    </w:p>
    <w:p w:rsidR="0031121B" w:rsidRPr="0031121B"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t>Το Γράφημα 13 αποτυπώνει το ύψος των επενδύσεων που πραγματοποιήθηκαν κατά το προηγούμενο εξάμηνο. Το 28% των επιχειρήσεων που πρ</w:t>
      </w:r>
      <w:r w:rsidR="008914DB">
        <w:rPr>
          <w:rFonts w:eastAsia="Times New Roman" w:cstheme="minorHAnsi"/>
          <w:bCs/>
          <w:sz w:val="24"/>
          <w:szCs w:val="24"/>
        </w:rPr>
        <w:t>αγματοποίησαν επενδύσεις δήλωσε</w:t>
      </w:r>
      <w:r w:rsidRPr="0031121B">
        <w:rPr>
          <w:rFonts w:eastAsia="Times New Roman" w:cstheme="minorHAnsi"/>
          <w:bCs/>
          <w:sz w:val="24"/>
          <w:szCs w:val="24"/>
        </w:rPr>
        <w:t xml:space="preserve"> ότι η επένδυση αφορούσε σε ποσό έως 2.000 ευρώ, ενώ το 11,7% πραγματοποίησε επενδύσεις ύψους 2.001-4.000 ευρώ. Αντίθετα, στις υψηλότερες κατηγορίες επενδύσεων καταγράφονται χαμηλότερα ποσοστά. Ειδικότερα, επενδύσεις ύψους από 50.001 έως 100.000 ευρώ πραγματοποίησε το </w:t>
      </w:r>
      <w:r w:rsidR="008914DB">
        <w:rPr>
          <w:rFonts w:eastAsia="Times New Roman" w:cstheme="minorHAnsi"/>
          <w:bCs/>
          <w:sz w:val="24"/>
          <w:szCs w:val="24"/>
        </w:rPr>
        <w:t>2,5% των επιχειρήσεων που έκανε</w:t>
      </w:r>
      <w:r w:rsidRPr="0031121B">
        <w:rPr>
          <w:rFonts w:eastAsia="Times New Roman" w:cstheme="minorHAnsi"/>
          <w:bCs/>
          <w:sz w:val="24"/>
          <w:szCs w:val="24"/>
        </w:rPr>
        <w:t xml:space="preserve"> επενδύσεις, ενώ το 5,9% δήλωσε ότι πραγματοποίησε επενδύσεις άνω των 100.000 ευρώ. </w:t>
      </w:r>
    </w:p>
    <w:p w:rsidR="0031121B" w:rsidRPr="0031121B"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t xml:space="preserve">Βάσει του χαμηλού κόστος επενδύσεων που καταγράφεται, θα μπορούσαμε σε γενικές γραμμές να πούμε ότι η πλειονότητα </w:t>
      </w:r>
      <w:r w:rsidR="003653AC">
        <w:rPr>
          <w:rFonts w:eastAsia="Times New Roman" w:cstheme="minorHAnsi"/>
          <w:bCs/>
          <w:sz w:val="24"/>
          <w:szCs w:val="24"/>
        </w:rPr>
        <w:t xml:space="preserve">των επενδύσεων είναι περισσότερο επενδύσεις </w:t>
      </w:r>
      <w:r w:rsidRPr="0031121B">
        <w:rPr>
          <w:rFonts w:eastAsia="Times New Roman" w:cstheme="minorHAnsi"/>
          <w:bCs/>
          <w:sz w:val="24"/>
          <w:szCs w:val="24"/>
        </w:rPr>
        <w:t xml:space="preserve">συντήρησης και </w:t>
      </w:r>
      <w:r w:rsidR="003653AC">
        <w:rPr>
          <w:rFonts w:eastAsia="Times New Roman" w:cstheme="minorHAnsi"/>
          <w:bCs/>
          <w:sz w:val="24"/>
          <w:szCs w:val="24"/>
        </w:rPr>
        <w:t>λιγότερο</w:t>
      </w:r>
      <w:r w:rsidRPr="0031121B">
        <w:rPr>
          <w:rFonts w:eastAsia="Times New Roman" w:cstheme="minorHAnsi"/>
          <w:bCs/>
          <w:sz w:val="24"/>
          <w:szCs w:val="24"/>
        </w:rPr>
        <w:t xml:space="preserve"> πραγματικής αύξησης της παραγωγικής ικανότητας των επιχειρήσεων.</w:t>
      </w:r>
    </w:p>
    <w:p w:rsidR="0031121B"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t xml:space="preserve">Ειδικότερα δε, αν λάβουμε υπόψη ότι οι περισσότερες επενδύσεις αφορούν σε τεχνολογικό και ψηφιακό εξοπλισμό όπως είδαμε παραπάνω, τεκμαίρεται ότι η </w:t>
      </w:r>
      <w:r w:rsidR="008914DB">
        <w:rPr>
          <w:rFonts w:eastAsia="Times New Roman" w:cstheme="minorHAnsi"/>
          <w:bCs/>
          <w:sz w:val="24"/>
          <w:szCs w:val="24"/>
        </w:rPr>
        <w:t>πλειονότητα</w:t>
      </w:r>
      <w:r w:rsidRPr="0031121B">
        <w:rPr>
          <w:rFonts w:eastAsia="Times New Roman" w:cstheme="minorHAnsi"/>
          <w:bCs/>
          <w:sz w:val="24"/>
          <w:szCs w:val="24"/>
        </w:rPr>
        <w:t xml:space="preserve"> των επιχειρήσεων προχωρά σε απολύτως απαραίτητες, χαμηλού κόστους, επενδύσεις σε τεχνολογικό εξοπλισμό και ψηφιακά συ</w:t>
      </w:r>
      <w:r w:rsidR="008914DB">
        <w:rPr>
          <w:rFonts w:eastAsia="Times New Roman" w:cstheme="minorHAnsi"/>
          <w:bCs/>
          <w:sz w:val="24"/>
          <w:szCs w:val="24"/>
        </w:rPr>
        <w:t>στήματα προκειμένου να μπορέσει</w:t>
      </w:r>
      <w:r w:rsidRPr="0031121B">
        <w:rPr>
          <w:rFonts w:eastAsia="Times New Roman" w:cstheme="minorHAnsi"/>
          <w:bCs/>
          <w:sz w:val="24"/>
          <w:szCs w:val="24"/>
        </w:rPr>
        <w:t xml:space="preserve"> να ακολουθ</w:t>
      </w:r>
      <w:r w:rsidR="008914DB">
        <w:rPr>
          <w:rFonts w:eastAsia="Times New Roman" w:cstheme="minorHAnsi"/>
          <w:bCs/>
          <w:sz w:val="24"/>
          <w:szCs w:val="24"/>
        </w:rPr>
        <w:t>ήσει</w:t>
      </w:r>
      <w:r w:rsidRPr="0031121B">
        <w:rPr>
          <w:rFonts w:eastAsia="Times New Roman" w:cstheme="minorHAnsi"/>
          <w:bCs/>
          <w:sz w:val="24"/>
          <w:szCs w:val="24"/>
        </w:rPr>
        <w:t xml:space="preserve"> τον επιταχυνόμενο ψηφιακό μετασχηματισμό που συντελείται μετά την πανδημία. </w:t>
      </w:r>
    </w:p>
    <w:p w:rsidR="00817AE2" w:rsidRPr="00817AE2" w:rsidRDefault="00B6363E" w:rsidP="00700BFC">
      <w:pPr>
        <w:spacing w:after="0" w:line="360" w:lineRule="auto"/>
        <w:jc w:val="both"/>
        <w:rPr>
          <w:rFonts w:eastAsia="Times New Roman" w:cstheme="minorHAnsi"/>
          <w:bCs/>
          <w:sz w:val="24"/>
          <w:szCs w:val="24"/>
        </w:rPr>
      </w:pPr>
      <w:r>
        <w:rPr>
          <w:noProof/>
        </w:rPr>
        <w:lastRenderedPageBreak/>
        <w:drawing>
          <wp:inline distT="0" distB="0" distL="0" distR="0" wp14:anchorId="0423B9A5" wp14:editId="6995A423">
            <wp:extent cx="6429375" cy="2924175"/>
            <wp:effectExtent l="0" t="0" r="9525" b="9525"/>
            <wp:docPr id="44" name="Γράφημα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121B" w:rsidRPr="0059632C" w:rsidRDefault="0031121B" w:rsidP="00700BFC">
      <w:pPr>
        <w:spacing w:after="0" w:line="360" w:lineRule="auto"/>
        <w:jc w:val="both"/>
        <w:rPr>
          <w:rFonts w:eastAsia="Times New Roman" w:cstheme="minorHAnsi"/>
          <w:bCs/>
          <w:sz w:val="24"/>
          <w:szCs w:val="24"/>
        </w:rPr>
      </w:pPr>
      <w:r>
        <w:rPr>
          <w:rFonts w:eastAsia="Times New Roman" w:cstheme="minorHAnsi"/>
          <w:bCs/>
          <w:sz w:val="24"/>
          <w:szCs w:val="24"/>
        </w:rPr>
        <w:t>Ο Πίνακας 7</w:t>
      </w:r>
      <w:r w:rsidRPr="0059632C">
        <w:rPr>
          <w:rFonts w:eastAsia="Times New Roman" w:cstheme="minorHAnsi"/>
          <w:bCs/>
          <w:sz w:val="24"/>
          <w:szCs w:val="24"/>
        </w:rPr>
        <w:t xml:space="preserve"> αποτυπώνει το ύψος των επενδύσεων σε σχέση με τον κύκλο εργασιών. Το 37,3% των επιχειρήσεων με κύκλο εργασιών έως 50.000 €, πραγματοποίησε επενδύσεις ύψους έως 2.000 ευρώ και το 21,3% από 2.001 έως 4.000 €. Αντίστοιχα, το 30,8% των επιχειρήσεων με κύκλο εργασιών  50.001-100.000 ευρώ, πραγματοποίησε επενδύσεις έως 2.000 ευρώ</w:t>
      </w:r>
      <w:r w:rsidR="003653AC">
        <w:rPr>
          <w:rFonts w:eastAsia="Times New Roman" w:cstheme="minorHAnsi"/>
          <w:bCs/>
          <w:sz w:val="24"/>
          <w:szCs w:val="24"/>
        </w:rPr>
        <w:t>, ενώ στις κατηγορίες με υψηλότε</w:t>
      </w:r>
      <w:r w:rsidRPr="0059632C">
        <w:rPr>
          <w:rFonts w:eastAsia="Times New Roman" w:cstheme="minorHAnsi"/>
          <w:bCs/>
          <w:sz w:val="24"/>
          <w:szCs w:val="24"/>
        </w:rPr>
        <w:t xml:space="preserve">ρα ποσά επενδύσεων, τα αντίστοιχα ποσοστά είναι ιδιαίτερα χαμηλά για τις επιχειρήσεις της συγκεκριμένης κατηγορίας. </w:t>
      </w:r>
    </w:p>
    <w:p w:rsidR="001B2706" w:rsidRPr="001B2706" w:rsidRDefault="0031121B" w:rsidP="00700BFC">
      <w:pPr>
        <w:spacing w:after="0" w:line="360" w:lineRule="auto"/>
        <w:jc w:val="both"/>
        <w:rPr>
          <w:rFonts w:eastAsia="Times New Roman" w:cstheme="minorHAnsi"/>
          <w:bCs/>
          <w:sz w:val="24"/>
          <w:szCs w:val="24"/>
        </w:rPr>
      </w:pPr>
      <w:r w:rsidRPr="00F35452">
        <w:rPr>
          <w:rFonts w:eastAsia="Times New Roman" w:cstheme="minorHAnsi"/>
          <w:bCs/>
          <w:sz w:val="24"/>
          <w:szCs w:val="24"/>
        </w:rPr>
        <w:t xml:space="preserve">Αντίθετα, για τις επιχειρήσεις με κύκλο εργασιών </w:t>
      </w:r>
      <w:r>
        <w:rPr>
          <w:rFonts w:eastAsia="Times New Roman" w:cstheme="minorHAnsi"/>
          <w:bCs/>
          <w:sz w:val="24"/>
          <w:szCs w:val="24"/>
        </w:rPr>
        <w:t>πάνω από 300.000 € το ποσοστό</w:t>
      </w:r>
      <w:r w:rsidRPr="00F35452">
        <w:rPr>
          <w:rFonts w:eastAsia="Times New Roman" w:cstheme="minorHAnsi"/>
          <w:bCs/>
          <w:sz w:val="24"/>
          <w:szCs w:val="24"/>
        </w:rPr>
        <w:t xml:space="preserve"> </w:t>
      </w:r>
      <w:r w:rsidR="00704A66">
        <w:rPr>
          <w:rFonts w:eastAsia="Times New Roman" w:cstheme="minorHAnsi"/>
          <w:bCs/>
          <w:sz w:val="24"/>
          <w:szCs w:val="24"/>
        </w:rPr>
        <w:t>αυτών</w:t>
      </w:r>
      <w:r w:rsidR="008914DB">
        <w:rPr>
          <w:rFonts w:eastAsia="Times New Roman" w:cstheme="minorHAnsi"/>
          <w:bCs/>
          <w:sz w:val="24"/>
          <w:szCs w:val="24"/>
        </w:rPr>
        <w:t xml:space="preserve"> που πραγματοποίησε</w:t>
      </w:r>
      <w:r>
        <w:rPr>
          <w:rFonts w:eastAsia="Times New Roman" w:cstheme="minorHAnsi"/>
          <w:bCs/>
          <w:sz w:val="24"/>
          <w:szCs w:val="24"/>
        </w:rPr>
        <w:t xml:space="preserve"> επενδύσεις</w:t>
      </w:r>
      <w:r w:rsidRPr="00F35452">
        <w:rPr>
          <w:rFonts w:eastAsia="Times New Roman" w:cstheme="minorHAnsi"/>
          <w:bCs/>
          <w:sz w:val="24"/>
          <w:szCs w:val="24"/>
        </w:rPr>
        <w:t xml:space="preserve"> αυξάν</w:t>
      </w:r>
      <w:r w:rsidR="008914DB">
        <w:rPr>
          <w:rFonts w:eastAsia="Times New Roman" w:cstheme="minorHAnsi"/>
          <w:bCs/>
          <w:sz w:val="24"/>
          <w:szCs w:val="24"/>
        </w:rPr>
        <w:t>εται</w:t>
      </w:r>
      <w:r w:rsidRPr="00F35452">
        <w:rPr>
          <w:rFonts w:eastAsia="Times New Roman" w:cstheme="minorHAnsi"/>
          <w:bCs/>
          <w:sz w:val="24"/>
          <w:szCs w:val="24"/>
        </w:rPr>
        <w:t xml:space="preserve">. Ειδικότερα, το </w:t>
      </w:r>
      <w:r>
        <w:rPr>
          <w:rFonts w:eastAsia="Times New Roman" w:cstheme="minorHAnsi"/>
          <w:bCs/>
          <w:sz w:val="24"/>
          <w:szCs w:val="24"/>
        </w:rPr>
        <w:t>27,3</w:t>
      </w:r>
      <w:r w:rsidRPr="00F35452">
        <w:rPr>
          <w:rFonts w:eastAsia="Times New Roman" w:cstheme="minorHAnsi"/>
          <w:bCs/>
          <w:sz w:val="24"/>
          <w:szCs w:val="24"/>
        </w:rPr>
        <w:t xml:space="preserve">% των επιχειρήσεων με κύκλο εργασιών  </w:t>
      </w:r>
      <w:r>
        <w:rPr>
          <w:rFonts w:eastAsia="Times New Roman" w:cstheme="minorHAnsi"/>
          <w:bCs/>
          <w:sz w:val="24"/>
          <w:szCs w:val="24"/>
        </w:rPr>
        <w:t>πάνω από 300.000</w:t>
      </w:r>
      <w:r w:rsidRPr="00F35452">
        <w:rPr>
          <w:rFonts w:eastAsia="Times New Roman" w:cstheme="minorHAnsi"/>
          <w:bCs/>
          <w:sz w:val="24"/>
          <w:szCs w:val="24"/>
        </w:rPr>
        <w:t xml:space="preserve"> €, πραγματοποίησε επενδύσεις μεταξύ</w:t>
      </w:r>
      <w:r>
        <w:rPr>
          <w:rFonts w:eastAsia="Times New Roman" w:cstheme="minorHAnsi"/>
          <w:bCs/>
          <w:sz w:val="24"/>
          <w:szCs w:val="24"/>
        </w:rPr>
        <w:t xml:space="preserve"> 20.001-50.000 ευρώ, το 9,1% από</w:t>
      </w:r>
      <w:r w:rsidRPr="00F35452">
        <w:rPr>
          <w:rFonts w:eastAsia="Times New Roman" w:cstheme="minorHAnsi"/>
          <w:bCs/>
          <w:sz w:val="24"/>
          <w:szCs w:val="24"/>
        </w:rPr>
        <w:t xml:space="preserve"> 50.001-100.000 </w:t>
      </w:r>
      <w:r>
        <w:rPr>
          <w:rFonts w:eastAsia="Times New Roman" w:cstheme="minorHAnsi"/>
          <w:bCs/>
          <w:sz w:val="24"/>
          <w:szCs w:val="24"/>
        </w:rPr>
        <w:t>ευρώ</w:t>
      </w:r>
      <w:r w:rsidRPr="00F35452">
        <w:rPr>
          <w:rFonts w:eastAsia="Times New Roman" w:cstheme="minorHAnsi"/>
          <w:bCs/>
          <w:sz w:val="24"/>
          <w:szCs w:val="24"/>
        </w:rPr>
        <w:t xml:space="preserve"> και το </w:t>
      </w:r>
      <w:r>
        <w:rPr>
          <w:rFonts w:eastAsia="Times New Roman" w:cstheme="minorHAnsi"/>
          <w:bCs/>
          <w:sz w:val="24"/>
          <w:szCs w:val="24"/>
        </w:rPr>
        <w:t>16,4</w:t>
      </w:r>
      <w:r w:rsidRPr="00F35452">
        <w:rPr>
          <w:rFonts w:eastAsia="Times New Roman" w:cstheme="minorHAnsi"/>
          <w:bCs/>
          <w:sz w:val="24"/>
          <w:szCs w:val="24"/>
        </w:rPr>
        <w:t>% δήλωσε ότι πραγματοποίησ</w:t>
      </w:r>
      <w:r>
        <w:rPr>
          <w:rFonts w:eastAsia="Times New Roman" w:cstheme="minorHAnsi"/>
          <w:bCs/>
          <w:sz w:val="24"/>
          <w:szCs w:val="24"/>
        </w:rPr>
        <w:t>ε επενδύσεις άνω των 100.000 ευρώ.</w:t>
      </w:r>
    </w:p>
    <w:tbl>
      <w:tblPr>
        <w:tblW w:w="5000" w:type="pct"/>
        <w:tblLook w:val="04A0" w:firstRow="1" w:lastRow="0" w:firstColumn="1" w:lastColumn="0" w:noHBand="0" w:noVBand="1"/>
      </w:tblPr>
      <w:tblGrid>
        <w:gridCol w:w="2489"/>
        <w:gridCol w:w="2013"/>
        <w:gridCol w:w="1985"/>
        <w:gridCol w:w="2126"/>
        <w:gridCol w:w="2092"/>
      </w:tblGrid>
      <w:tr w:rsidR="00817AE2" w:rsidRPr="00817AE2" w:rsidTr="0009042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817AE2" w:rsidRPr="00817AE2" w:rsidRDefault="00E70A64" w:rsidP="00700BFC">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ΠΙΝΑΚΑΣ 7</w:t>
            </w:r>
          </w:p>
          <w:p w:rsidR="00817AE2" w:rsidRPr="00817AE2" w:rsidRDefault="00817AE2" w:rsidP="00700BFC">
            <w:pPr>
              <w:spacing w:after="0" w:line="240" w:lineRule="auto"/>
              <w:jc w:val="center"/>
              <w:rPr>
                <w:rFonts w:ascii="Calibri" w:eastAsia="Times New Roman" w:hAnsi="Calibri" w:cs="Calibri"/>
                <w:b/>
                <w:bCs/>
                <w:color w:val="000000"/>
              </w:rPr>
            </w:pPr>
            <w:r w:rsidRPr="00817AE2">
              <w:rPr>
                <w:rFonts w:ascii="Calibri" w:eastAsia="Times New Roman" w:hAnsi="Calibri" w:cs="Calibri"/>
                <w:b/>
                <w:bCs/>
                <w:color w:val="000000"/>
              </w:rPr>
              <w:t xml:space="preserve">Ύψος επένδυσης βάσει κύκλου εργασιών </w:t>
            </w:r>
          </w:p>
          <w:p w:rsidR="00817AE2" w:rsidRPr="00817AE2" w:rsidRDefault="00817AE2" w:rsidP="00700BFC">
            <w:pPr>
              <w:spacing w:after="0" w:line="240" w:lineRule="auto"/>
              <w:jc w:val="center"/>
              <w:rPr>
                <w:rFonts w:ascii="Calibri" w:eastAsia="Times New Roman" w:hAnsi="Calibri" w:cs="Calibri"/>
                <w:b/>
                <w:bCs/>
                <w:color w:val="000000"/>
                <w:sz w:val="16"/>
                <w:szCs w:val="16"/>
              </w:rPr>
            </w:pPr>
            <w:r w:rsidRPr="00817AE2">
              <w:rPr>
                <w:rFonts w:ascii="Calibri" w:eastAsia="Times New Roman" w:hAnsi="Calibri" w:cs="Calibri"/>
                <w:b/>
                <w:bCs/>
                <w:color w:val="000000"/>
                <w:sz w:val="16"/>
                <w:szCs w:val="16"/>
              </w:rPr>
              <w:t>-Βάση όσοι πραγματοποίησαν επενδύσεις-</w:t>
            </w:r>
          </w:p>
        </w:tc>
      </w:tr>
      <w:tr w:rsidR="00817AE2" w:rsidRPr="00817AE2" w:rsidTr="00090427">
        <w:trPr>
          <w:trHeight w:val="300"/>
        </w:trPr>
        <w:tc>
          <w:tcPr>
            <w:tcW w:w="1163" w:type="pct"/>
            <w:vMerge w:val="restart"/>
            <w:tcBorders>
              <w:top w:val="nil"/>
              <w:left w:val="single" w:sz="4" w:space="0" w:color="auto"/>
              <w:bottom w:val="single" w:sz="4" w:space="0" w:color="auto"/>
              <w:right w:val="single" w:sz="4" w:space="0" w:color="auto"/>
            </w:tcBorders>
            <w:shd w:val="clear" w:color="DCE6F1" w:fill="DCE6F1"/>
            <w:noWrap/>
            <w:vAlign w:val="bottom"/>
            <w:hideMark/>
          </w:tcPr>
          <w:p w:rsidR="00817AE2" w:rsidRPr="00817AE2" w:rsidRDefault="00817AE2" w:rsidP="00700BFC">
            <w:pPr>
              <w:spacing w:after="0" w:line="240" w:lineRule="auto"/>
              <w:jc w:val="center"/>
              <w:rPr>
                <w:rFonts w:ascii="Calibri" w:eastAsia="Times New Roman" w:hAnsi="Calibri" w:cs="Calibri"/>
                <w:b/>
                <w:bCs/>
                <w:color w:val="000000"/>
              </w:rPr>
            </w:pPr>
            <w:r w:rsidRPr="00817AE2">
              <w:rPr>
                <w:rFonts w:ascii="Calibri" w:eastAsia="Times New Roman" w:hAnsi="Calibri" w:cs="Calibri"/>
                <w:b/>
                <w:bCs/>
                <w:color w:val="000000"/>
              </w:rPr>
              <w:t> </w:t>
            </w:r>
          </w:p>
        </w:tc>
        <w:tc>
          <w:tcPr>
            <w:tcW w:w="3837" w:type="pct"/>
            <w:gridSpan w:val="4"/>
            <w:tcBorders>
              <w:top w:val="single" w:sz="4" w:space="0" w:color="auto"/>
              <w:left w:val="nil"/>
              <w:bottom w:val="single" w:sz="4" w:space="0" w:color="auto"/>
              <w:right w:val="single" w:sz="4" w:space="0" w:color="auto"/>
            </w:tcBorders>
            <w:shd w:val="clear" w:color="DCE6F1" w:fill="DCE6F1"/>
            <w:vAlign w:val="center"/>
            <w:hideMark/>
          </w:tcPr>
          <w:p w:rsidR="00817AE2" w:rsidRPr="00817AE2" w:rsidRDefault="00817AE2" w:rsidP="00700BFC">
            <w:pPr>
              <w:spacing w:after="0" w:line="240" w:lineRule="auto"/>
              <w:jc w:val="center"/>
              <w:rPr>
                <w:rFonts w:ascii="Calibri" w:eastAsia="Times New Roman" w:hAnsi="Calibri" w:cs="Calibri"/>
                <w:b/>
                <w:bCs/>
                <w:color w:val="000000"/>
              </w:rPr>
            </w:pPr>
            <w:r w:rsidRPr="00817AE2">
              <w:rPr>
                <w:rFonts w:ascii="Calibri" w:eastAsia="Times New Roman" w:hAnsi="Calibri" w:cs="Calibri"/>
                <w:b/>
                <w:bCs/>
                <w:color w:val="000000"/>
              </w:rPr>
              <w:t>ΕΤΗΣΙΟΣ ΚΥΚΛΟΣ ΕΡΓΑΣΙΩΝ</w:t>
            </w:r>
          </w:p>
        </w:tc>
      </w:tr>
      <w:tr w:rsidR="00090427" w:rsidRPr="00817AE2" w:rsidTr="001B2706">
        <w:trPr>
          <w:trHeight w:val="385"/>
        </w:trPr>
        <w:tc>
          <w:tcPr>
            <w:tcW w:w="1163" w:type="pct"/>
            <w:vMerge/>
            <w:tcBorders>
              <w:top w:val="nil"/>
              <w:left w:val="single" w:sz="4" w:space="0" w:color="auto"/>
              <w:bottom w:val="single" w:sz="4" w:space="0" w:color="auto"/>
              <w:right w:val="single" w:sz="4" w:space="0" w:color="auto"/>
            </w:tcBorders>
            <w:vAlign w:val="center"/>
            <w:hideMark/>
          </w:tcPr>
          <w:p w:rsidR="00090427" w:rsidRPr="00817AE2" w:rsidRDefault="00090427" w:rsidP="00700BFC">
            <w:pPr>
              <w:spacing w:after="0" w:line="240" w:lineRule="auto"/>
              <w:rPr>
                <w:rFonts w:ascii="Calibri" w:eastAsia="Times New Roman" w:hAnsi="Calibri" w:cs="Calibri"/>
                <w:b/>
                <w:bCs/>
                <w:color w:val="000000"/>
              </w:rPr>
            </w:pPr>
          </w:p>
        </w:tc>
        <w:tc>
          <w:tcPr>
            <w:tcW w:w="940" w:type="pct"/>
            <w:tcBorders>
              <w:top w:val="nil"/>
              <w:left w:val="nil"/>
              <w:bottom w:val="single" w:sz="4" w:space="0" w:color="auto"/>
              <w:right w:val="single" w:sz="4" w:space="0" w:color="auto"/>
            </w:tcBorders>
            <w:shd w:val="clear" w:color="DCE6F1" w:fill="DCE6F1"/>
            <w:vAlign w:val="center"/>
            <w:hideMark/>
          </w:tcPr>
          <w:p w:rsidR="00090427" w:rsidRPr="001B2706" w:rsidRDefault="001B2706" w:rsidP="00700BFC">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Έως</w:t>
            </w:r>
            <w:r w:rsidR="00090427" w:rsidRPr="001B2706">
              <w:rPr>
                <w:rFonts w:ascii="Calibri" w:eastAsia="Times New Roman" w:hAnsi="Calibri" w:cs="Calibri"/>
                <w:b/>
                <w:bCs/>
                <w:color w:val="000000"/>
                <w:sz w:val="20"/>
                <w:szCs w:val="20"/>
              </w:rPr>
              <w:t xml:space="preserve"> 50.000 €</w:t>
            </w:r>
          </w:p>
        </w:tc>
        <w:tc>
          <w:tcPr>
            <w:tcW w:w="927" w:type="pct"/>
            <w:tcBorders>
              <w:top w:val="nil"/>
              <w:left w:val="nil"/>
              <w:bottom w:val="single" w:sz="4" w:space="0" w:color="auto"/>
              <w:right w:val="single" w:sz="4" w:space="0" w:color="auto"/>
            </w:tcBorders>
            <w:shd w:val="clear" w:color="DCE6F1" w:fill="DCE6F1"/>
            <w:vAlign w:val="center"/>
            <w:hideMark/>
          </w:tcPr>
          <w:p w:rsidR="00090427" w:rsidRPr="001B2706" w:rsidRDefault="00090427" w:rsidP="00700BFC">
            <w:pPr>
              <w:spacing w:after="0" w:line="240" w:lineRule="auto"/>
              <w:jc w:val="center"/>
              <w:rPr>
                <w:rFonts w:ascii="Calibri" w:eastAsia="Times New Roman" w:hAnsi="Calibri" w:cs="Calibri"/>
                <w:b/>
                <w:bCs/>
                <w:color w:val="000000"/>
                <w:sz w:val="20"/>
                <w:szCs w:val="20"/>
              </w:rPr>
            </w:pPr>
            <w:r w:rsidRPr="001B2706">
              <w:rPr>
                <w:rFonts w:ascii="Calibri" w:eastAsia="Times New Roman" w:hAnsi="Calibri" w:cs="Calibri"/>
                <w:b/>
                <w:bCs/>
                <w:color w:val="000000"/>
                <w:sz w:val="20"/>
                <w:szCs w:val="20"/>
              </w:rPr>
              <w:t>50.000 - 100.000 €</w:t>
            </w:r>
          </w:p>
        </w:tc>
        <w:tc>
          <w:tcPr>
            <w:tcW w:w="993" w:type="pct"/>
            <w:tcBorders>
              <w:top w:val="nil"/>
              <w:left w:val="nil"/>
              <w:bottom w:val="single" w:sz="4" w:space="0" w:color="auto"/>
              <w:right w:val="single" w:sz="4" w:space="0" w:color="auto"/>
            </w:tcBorders>
            <w:shd w:val="clear" w:color="DCE6F1" w:fill="DCE6F1"/>
            <w:vAlign w:val="center"/>
            <w:hideMark/>
          </w:tcPr>
          <w:p w:rsidR="00090427" w:rsidRPr="001B2706" w:rsidRDefault="00090427" w:rsidP="00700BFC">
            <w:pPr>
              <w:spacing w:after="0" w:line="240" w:lineRule="auto"/>
              <w:jc w:val="center"/>
              <w:rPr>
                <w:rFonts w:ascii="Calibri" w:eastAsia="Times New Roman" w:hAnsi="Calibri" w:cs="Calibri"/>
                <w:b/>
                <w:bCs/>
                <w:color w:val="000000"/>
                <w:sz w:val="20"/>
                <w:szCs w:val="20"/>
              </w:rPr>
            </w:pPr>
            <w:r w:rsidRPr="001B2706">
              <w:rPr>
                <w:rFonts w:ascii="Calibri" w:eastAsia="Times New Roman" w:hAnsi="Calibri" w:cs="Calibri"/>
                <w:b/>
                <w:bCs/>
                <w:color w:val="000000"/>
                <w:sz w:val="20"/>
                <w:szCs w:val="20"/>
              </w:rPr>
              <w:t>100.001 - 300.000 €</w:t>
            </w:r>
          </w:p>
        </w:tc>
        <w:tc>
          <w:tcPr>
            <w:tcW w:w="977" w:type="pct"/>
            <w:tcBorders>
              <w:top w:val="nil"/>
              <w:left w:val="nil"/>
              <w:bottom w:val="single" w:sz="4" w:space="0" w:color="auto"/>
              <w:right w:val="single" w:sz="4" w:space="0" w:color="auto"/>
            </w:tcBorders>
            <w:shd w:val="clear" w:color="DCE6F1" w:fill="DCE6F1"/>
            <w:vAlign w:val="center"/>
            <w:hideMark/>
          </w:tcPr>
          <w:p w:rsidR="00090427" w:rsidRPr="001B2706" w:rsidRDefault="001B2706" w:rsidP="00700BFC">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Πάνω από </w:t>
            </w:r>
            <w:r w:rsidR="00090427" w:rsidRPr="001B2706">
              <w:rPr>
                <w:rFonts w:ascii="Calibri" w:eastAsia="Times New Roman" w:hAnsi="Calibri" w:cs="Calibri"/>
                <w:b/>
                <w:bCs/>
                <w:color w:val="000000"/>
                <w:sz w:val="20"/>
                <w:szCs w:val="20"/>
              </w:rPr>
              <w:t>300.000 €</w:t>
            </w:r>
          </w:p>
        </w:tc>
      </w:tr>
      <w:tr w:rsidR="00090427" w:rsidRPr="00817AE2" w:rsidTr="00090427">
        <w:trPr>
          <w:trHeight w:val="315"/>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Έως 2.000 €</w:t>
            </w:r>
          </w:p>
        </w:tc>
        <w:tc>
          <w:tcPr>
            <w:tcW w:w="940"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37,3%</w:t>
            </w:r>
          </w:p>
        </w:tc>
        <w:tc>
          <w:tcPr>
            <w:tcW w:w="92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30,8%</w:t>
            </w:r>
          </w:p>
        </w:tc>
        <w:tc>
          <w:tcPr>
            <w:tcW w:w="993"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32,0%</w:t>
            </w:r>
          </w:p>
        </w:tc>
        <w:tc>
          <w:tcPr>
            <w:tcW w:w="97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12,8</w:t>
            </w:r>
            <w:r w:rsidRPr="00817AE2">
              <w:rPr>
                <w:rFonts w:ascii="Calibri" w:eastAsia="Times New Roman" w:hAnsi="Calibri" w:cs="Calibri"/>
                <w:color w:val="000000"/>
              </w:rPr>
              <w:t>%</w:t>
            </w:r>
          </w:p>
        </w:tc>
      </w:tr>
      <w:tr w:rsidR="00090427" w:rsidRPr="00817AE2"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2.001-4.000 €</w:t>
            </w:r>
          </w:p>
        </w:tc>
        <w:tc>
          <w:tcPr>
            <w:tcW w:w="940"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21,3%</w:t>
            </w:r>
          </w:p>
        </w:tc>
        <w:tc>
          <w:tcPr>
            <w:tcW w:w="92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7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0,0%</w:t>
            </w:r>
          </w:p>
        </w:tc>
      </w:tr>
      <w:tr w:rsidR="00090427" w:rsidRPr="00817AE2"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4001-5.000 €</w:t>
            </w:r>
          </w:p>
        </w:tc>
        <w:tc>
          <w:tcPr>
            <w:tcW w:w="940"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2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7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9,1</w:t>
            </w:r>
            <w:r w:rsidRPr="00817AE2">
              <w:rPr>
                <w:rFonts w:ascii="Calibri" w:eastAsia="Times New Roman" w:hAnsi="Calibri" w:cs="Calibri"/>
                <w:color w:val="000000"/>
              </w:rPr>
              <w:t>%</w:t>
            </w:r>
          </w:p>
        </w:tc>
      </w:tr>
      <w:tr w:rsidR="00090427" w:rsidRPr="00817AE2"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5.001-10.000 €</w:t>
            </w:r>
          </w:p>
        </w:tc>
        <w:tc>
          <w:tcPr>
            <w:tcW w:w="940"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10,7%</w:t>
            </w:r>
          </w:p>
        </w:tc>
        <w:tc>
          <w:tcPr>
            <w:tcW w:w="92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18,0%</w:t>
            </w:r>
          </w:p>
        </w:tc>
        <w:tc>
          <w:tcPr>
            <w:tcW w:w="97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12,7</w:t>
            </w:r>
            <w:r w:rsidRPr="00817AE2">
              <w:rPr>
                <w:rFonts w:ascii="Calibri" w:eastAsia="Times New Roman" w:hAnsi="Calibri" w:cs="Calibri"/>
                <w:color w:val="000000"/>
              </w:rPr>
              <w:t>%</w:t>
            </w:r>
          </w:p>
        </w:tc>
      </w:tr>
      <w:tr w:rsidR="00090427" w:rsidRPr="00817AE2"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10.001-20.000 €</w:t>
            </w:r>
          </w:p>
        </w:tc>
        <w:tc>
          <w:tcPr>
            <w:tcW w:w="940"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9,3%</w:t>
            </w:r>
          </w:p>
        </w:tc>
        <w:tc>
          <w:tcPr>
            <w:tcW w:w="92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15,4%</w:t>
            </w:r>
          </w:p>
        </w:tc>
        <w:tc>
          <w:tcPr>
            <w:tcW w:w="993"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12,0%</w:t>
            </w:r>
          </w:p>
        </w:tc>
        <w:tc>
          <w:tcPr>
            <w:tcW w:w="97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5,5</w:t>
            </w:r>
            <w:r w:rsidRPr="00817AE2">
              <w:rPr>
                <w:rFonts w:ascii="Calibri" w:eastAsia="Times New Roman" w:hAnsi="Calibri" w:cs="Calibri"/>
                <w:color w:val="000000"/>
              </w:rPr>
              <w:t>%</w:t>
            </w:r>
          </w:p>
        </w:tc>
      </w:tr>
      <w:tr w:rsidR="00090427" w:rsidRPr="00817AE2"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20.001-50.000 €</w:t>
            </w:r>
          </w:p>
        </w:tc>
        <w:tc>
          <w:tcPr>
            <w:tcW w:w="940"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2,7%</w:t>
            </w:r>
          </w:p>
        </w:tc>
        <w:tc>
          <w:tcPr>
            <w:tcW w:w="92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12,8%</w:t>
            </w:r>
          </w:p>
        </w:tc>
        <w:tc>
          <w:tcPr>
            <w:tcW w:w="993"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8,0%</w:t>
            </w:r>
          </w:p>
        </w:tc>
        <w:tc>
          <w:tcPr>
            <w:tcW w:w="97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27,3</w:t>
            </w:r>
            <w:r w:rsidRPr="00817AE2">
              <w:rPr>
                <w:rFonts w:ascii="Calibri" w:eastAsia="Times New Roman" w:hAnsi="Calibri" w:cs="Calibri"/>
                <w:color w:val="000000"/>
              </w:rPr>
              <w:t>%</w:t>
            </w:r>
          </w:p>
        </w:tc>
      </w:tr>
      <w:tr w:rsidR="00090427" w:rsidRPr="00817AE2" w:rsidTr="00090427">
        <w:trPr>
          <w:trHeight w:val="30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50.001-100.000 €</w:t>
            </w:r>
          </w:p>
        </w:tc>
        <w:tc>
          <w:tcPr>
            <w:tcW w:w="940"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0,0%</w:t>
            </w:r>
          </w:p>
        </w:tc>
        <w:tc>
          <w:tcPr>
            <w:tcW w:w="92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0,0%</w:t>
            </w:r>
          </w:p>
        </w:tc>
        <w:tc>
          <w:tcPr>
            <w:tcW w:w="993"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2,0%</w:t>
            </w:r>
          </w:p>
        </w:tc>
        <w:tc>
          <w:tcPr>
            <w:tcW w:w="977" w:type="pct"/>
            <w:tcBorders>
              <w:top w:val="nil"/>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9,1</w:t>
            </w:r>
            <w:r w:rsidRPr="00817AE2">
              <w:rPr>
                <w:rFonts w:ascii="Calibri" w:eastAsia="Times New Roman" w:hAnsi="Calibri" w:cs="Calibri"/>
                <w:color w:val="000000"/>
              </w:rPr>
              <w:t>%</w:t>
            </w:r>
          </w:p>
        </w:tc>
      </w:tr>
      <w:tr w:rsidR="00090427" w:rsidRPr="00817AE2" w:rsidTr="00090427">
        <w:trPr>
          <w:trHeight w:val="300"/>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427" w:rsidRPr="00817AE2" w:rsidRDefault="00090427" w:rsidP="00700BFC">
            <w:pPr>
              <w:spacing w:after="0" w:line="240" w:lineRule="auto"/>
              <w:rPr>
                <w:rFonts w:ascii="Calibri" w:eastAsia="Times New Roman" w:hAnsi="Calibri" w:cs="Calibri"/>
                <w:color w:val="000000"/>
              </w:rPr>
            </w:pPr>
            <w:r w:rsidRPr="00817AE2">
              <w:rPr>
                <w:rFonts w:ascii="Calibri" w:eastAsia="Times New Roman" w:hAnsi="Calibri" w:cs="Calibri"/>
                <w:color w:val="000000"/>
              </w:rPr>
              <w:t>&gt;100.000 €</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2,7%</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2,6%</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sidRPr="00817AE2">
              <w:rPr>
                <w:rFonts w:ascii="Calibri" w:eastAsia="Times New Roman" w:hAnsi="Calibri" w:cs="Calibri"/>
                <w:color w:val="000000"/>
              </w:rPr>
              <w:t>4,0%</w:t>
            </w:r>
          </w:p>
        </w:tc>
        <w:tc>
          <w:tcPr>
            <w:tcW w:w="977" w:type="pct"/>
            <w:tcBorders>
              <w:top w:val="single" w:sz="4" w:space="0" w:color="auto"/>
              <w:left w:val="nil"/>
              <w:bottom w:val="single" w:sz="4" w:space="0" w:color="auto"/>
              <w:right w:val="single" w:sz="4" w:space="0" w:color="auto"/>
            </w:tcBorders>
            <w:shd w:val="clear" w:color="auto" w:fill="auto"/>
            <w:noWrap/>
            <w:vAlign w:val="center"/>
            <w:hideMark/>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16,4</w:t>
            </w:r>
            <w:r w:rsidRPr="00817AE2">
              <w:rPr>
                <w:rFonts w:ascii="Calibri" w:eastAsia="Times New Roman" w:hAnsi="Calibri" w:cs="Calibri"/>
                <w:color w:val="000000"/>
              </w:rPr>
              <w:t>%</w:t>
            </w:r>
          </w:p>
        </w:tc>
      </w:tr>
      <w:tr w:rsidR="00090427" w:rsidRPr="00817AE2" w:rsidTr="00090427">
        <w:trPr>
          <w:trHeight w:val="300"/>
        </w:trPr>
        <w:tc>
          <w:tcPr>
            <w:tcW w:w="11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90427" w:rsidRPr="00817AE2" w:rsidRDefault="00090427" w:rsidP="00700BFC">
            <w:pPr>
              <w:spacing w:after="0" w:line="240" w:lineRule="auto"/>
              <w:rPr>
                <w:rFonts w:ascii="Calibri" w:eastAsia="Times New Roman" w:hAnsi="Calibri" w:cs="Calibri"/>
                <w:color w:val="000000"/>
              </w:rPr>
            </w:pPr>
            <w:r>
              <w:rPr>
                <w:rFonts w:ascii="Calibri" w:eastAsia="Times New Roman" w:hAnsi="Calibri" w:cs="Calibri"/>
                <w:color w:val="000000"/>
              </w:rPr>
              <w:t>ΔΑ</w:t>
            </w:r>
          </w:p>
        </w:tc>
        <w:tc>
          <w:tcPr>
            <w:tcW w:w="940" w:type="pct"/>
            <w:tcBorders>
              <w:top w:val="single" w:sz="4" w:space="0" w:color="auto"/>
              <w:left w:val="nil"/>
              <w:bottom w:val="single" w:sz="4" w:space="0" w:color="auto"/>
              <w:right w:val="single" w:sz="4" w:space="0" w:color="auto"/>
            </w:tcBorders>
            <w:shd w:val="clear" w:color="auto" w:fill="auto"/>
            <w:noWrap/>
            <w:vAlign w:val="center"/>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c>
          <w:tcPr>
            <w:tcW w:w="927" w:type="pct"/>
            <w:tcBorders>
              <w:top w:val="single" w:sz="4" w:space="0" w:color="auto"/>
              <w:left w:val="nil"/>
              <w:bottom w:val="single" w:sz="4" w:space="0" w:color="auto"/>
              <w:right w:val="single" w:sz="4" w:space="0" w:color="auto"/>
            </w:tcBorders>
            <w:shd w:val="clear" w:color="auto" w:fill="auto"/>
            <w:noWrap/>
            <w:vAlign w:val="center"/>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993" w:type="pct"/>
            <w:tcBorders>
              <w:top w:val="single" w:sz="4" w:space="0" w:color="auto"/>
              <w:left w:val="nil"/>
              <w:bottom w:val="single" w:sz="4" w:space="0" w:color="auto"/>
              <w:right w:val="single" w:sz="4" w:space="0" w:color="auto"/>
            </w:tcBorders>
            <w:shd w:val="clear" w:color="auto" w:fill="auto"/>
            <w:noWrap/>
            <w:vAlign w:val="center"/>
          </w:tcPr>
          <w:p w:rsidR="00090427" w:rsidRPr="00817AE2"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0,0%</w:t>
            </w:r>
          </w:p>
        </w:tc>
        <w:tc>
          <w:tcPr>
            <w:tcW w:w="977" w:type="pct"/>
            <w:tcBorders>
              <w:top w:val="single" w:sz="4" w:space="0" w:color="auto"/>
              <w:left w:val="nil"/>
              <w:bottom w:val="single" w:sz="4" w:space="0" w:color="auto"/>
              <w:right w:val="single" w:sz="4" w:space="0" w:color="auto"/>
            </w:tcBorders>
            <w:shd w:val="clear" w:color="auto" w:fill="auto"/>
            <w:noWrap/>
            <w:vAlign w:val="center"/>
          </w:tcPr>
          <w:p w:rsidR="00090427" w:rsidRDefault="00090427" w:rsidP="00700BFC">
            <w:pPr>
              <w:spacing w:after="0" w:line="240" w:lineRule="auto"/>
              <w:jc w:val="center"/>
              <w:rPr>
                <w:rFonts w:ascii="Calibri" w:eastAsia="Times New Roman" w:hAnsi="Calibri" w:cs="Calibri"/>
                <w:color w:val="000000"/>
              </w:rPr>
            </w:pPr>
            <w:r>
              <w:rPr>
                <w:rFonts w:ascii="Calibri" w:eastAsia="Times New Roman" w:hAnsi="Calibri" w:cs="Calibri"/>
                <w:color w:val="000000"/>
              </w:rPr>
              <w:t>7,3%</w:t>
            </w:r>
          </w:p>
        </w:tc>
      </w:tr>
    </w:tbl>
    <w:p w:rsidR="00817AE2" w:rsidRPr="00817AE2" w:rsidRDefault="00817AE2" w:rsidP="00700BFC">
      <w:pPr>
        <w:spacing w:after="0" w:line="360" w:lineRule="auto"/>
        <w:jc w:val="both"/>
        <w:rPr>
          <w:rFonts w:eastAsia="Times New Roman" w:cstheme="minorHAnsi"/>
          <w:bCs/>
          <w:sz w:val="24"/>
          <w:szCs w:val="24"/>
        </w:rPr>
      </w:pPr>
    </w:p>
    <w:p w:rsidR="0031121B" w:rsidRPr="001B2706" w:rsidRDefault="0031121B" w:rsidP="00700BFC">
      <w:pPr>
        <w:spacing w:after="0" w:line="360" w:lineRule="auto"/>
        <w:jc w:val="both"/>
        <w:rPr>
          <w:rFonts w:eastAsia="Times New Roman" w:cstheme="minorHAnsi"/>
          <w:bCs/>
          <w:sz w:val="24"/>
          <w:szCs w:val="24"/>
        </w:rPr>
      </w:pPr>
      <w:r w:rsidRPr="0031121B">
        <w:rPr>
          <w:rFonts w:eastAsia="Times New Roman" w:cstheme="minorHAnsi"/>
          <w:bCs/>
          <w:sz w:val="24"/>
          <w:szCs w:val="24"/>
        </w:rPr>
        <w:lastRenderedPageBreak/>
        <w:t>Το Γράφημα 14 αποτυπώνει την πηγή χρηματοδότησης των επενδύσεων. Η συντριπτικά μεγαλύτερη πηγή χρηματοδότησης είναι τα «Ίδια κεφάλαια» καθώς το 81,3% των επιχειρήσεων π</w:t>
      </w:r>
      <w:r w:rsidR="008914DB">
        <w:rPr>
          <w:rFonts w:eastAsia="Times New Roman" w:cstheme="minorHAnsi"/>
          <w:bCs/>
          <w:sz w:val="24"/>
          <w:szCs w:val="24"/>
        </w:rPr>
        <w:t>ου πραγματοποίησε</w:t>
      </w:r>
      <w:r w:rsidR="003653AC">
        <w:rPr>
          <w:rFonts w:eastAsia="Times New Roman" w:cstheme="minorHAnsi"/>
          <w:bCs/>
          <w:sz w:val="24"/>
          <w:szCs w:val="24"/>
        </w:rPr>
        <w:t xml:space="preserve"> επενδύσεις τι</w:t>
      </w:r>
      <w:r w:rsidR="008914DB">
        <w:rPr>
          <w:rFonts w:eastAsia="Times New Roman" w:cstheme="minorHAnsi"/>
          <w:bCs/>
          <w:sz w:val="24"/>
          <w:szCs w:val="24"/>
        </w:rPr>
        <w:t>ς χρηματοδότησε</w:t>
      </w:r>
      <w:r w:rsidRPr="0031121B">
        <w:rPr>
          <w:rFonts w:eastAsia="Times New Roman" w:cstheme="minorHAnsi"/>
          <w:bCs/>
          <w:sz w:val="24"/>
          <w:szCs w:val="24"/>
        </w:rPr>
        <w:t xml:space="preserve"> με ιδίους πόρους. Τα προγράμματα χρηματοδότησης αξιοποίησε το 9,6% των επιχειρήσεων ενώ μέσω τραπεζικού δανεισμού πραγματοποίησε επενδύσεις μόλις 3,8% των επιχειρήσεων που έκαναν επενδύσεις το πρώτο εξάμηνο του 2022. Όπως φαίνεται</w:t>
      </w:r>
      <w:r w:rsidR="003653AC">
        <w:rPr>
          <w:rFonts w:eastAsia="Times New Roman" w:cstheme="minorHAnsi"/>
          <w:bCs/>
          <w:sz w:val="24"/>
          <w:szCs w:val="24"/>
        </w:rPr>
        <w:t>,</w:t>
      </w:r>
      <w:r w:rsidRPr="0031121B">
        <w:rPr>
          <w:rFonts w:eastAsia="Times New Roman" w:cstheme="minorHAnsi"/>
          <w:bCs/>
          <w:sz w:val="24"/>
          <w:szCs w:val="24"/>
        </w:rPr>
        <w:t xml:space="preserve"> το πρόβλημα πρόσβασης των </w:t>
      </w:r>
      <w:r w:rsidR="003653AC">
        <w:rPr>
          <w:rFonts w:eastAsia="Times New Roman" w:cstheme="minorHAnsi"/>
          <w:bCs/>
          <w:sz w:val="24"/>
          <w:szCs w:val="24"/>
        </w:rPr>
        <w:t>μικρών και πολύ μικρών επιχειρήσεων</w:t>
      </w:r>
      <w:r w:rsidRPr="0031121B">
        <w:rPr>
          <w:rFonts w:eastAsia="Times New Roman" w:cstheme="minorHAnsi"/>
          <w:bCs/>
          <w:sz w:val="24"/>
          <w:szCs w:val="24"/>
        </w:rPr>
        <w:t xml:space="preserve"> στο χρηματοπιστωτικό σύστημα και στα προγράμματα χρηματ</w:t>
      </w:r>
      <w:r w:rsidR="003653AC">
        <w:rPr>
          <w:rFonts w:eastAsia="Times New Roman" w:cstheme="minorHAnsi"/>
          <w:bCs/>
          <w:sz w:val="24"/>
          <w:szCs w:val="24"/>
        </w:rPr>
        <w:t>οδότησης που παρατηρούμε από τη</w:t>
      </w:r>
      <w:r w:rsidRPr="0031121B">
        <w:rPr>
          <w:rFonts w:eastAsia="Times New Roman" w:cstheme="minorHAnsi"/>
          <w:bCs/>
          <w:sz w:val="24"/>
          <w:szCs w:val="24"/>
        </w:rPr>
        <w:t xml:space="preserve"> περίοδο της κρίσης χρέους εξακολουθεί να υφίσταται και να απο</w:t>
      </w:r>
      <w:r w:rsidR="003653AC">
        <w:rPr>
          <w:rFonts w:eastAsia="Times New Roman" w:cstheme="minorHAnsi"/>
          <w:bCs/>
          <w:sz w:val="24"/>
          <w:szCs w:val="24"/>
        </w:rPr>
        <w:t>τελεί τροχοπέδη για την ανάπτυξή</w:t>
      </w:r>
      <w:r w:rsidRPr="0031121B">
        <w:rPr>
          <w:rFonts w:eastAsia="Times New Roman" w:cstheme="minorHAnsi"/>
          <w:bCs/>
          <w:sz w:val="24"/>
          <w:szCs w:val="24"/>
        </w:rPr>
        <w:t xml:space="preserve"> </w:t>
      </w:r>
      <w:r w:rsidR="003653AC">
        <w:rPr>
          <w:rFonts w:eastAsia="Times New Roman" w:cstheme="minorHAnsi"/>
          <w:bCs/>
          <w:sz w:val="24"/>
          <w:szCs w:val="24"/>
        </w:rPr>
        <w:t>τους</w:t>
      </w:r>
      <w:r w:rsidRPr="0031121B">
        <w:rPr>
          <w:rFonts w:eastAsia="Times New Roman" w:cstheme="minorHAnsi"/>
          <w:bCs/>
          <w:sz w:val="24"/>
          <w:szCs w:val="24"/>
        </w:rPr>
        <w:t>.</w:t>
      </w:r>
    </w:p>
    <w:p w:rsidR="0031121B" w:rsidRPr="00817AE2" w:rsidRDefault="00B6363E" w:rsidP="00700BFC">
      <w:pPr>
        <w:spacing w:after="0" w:line="360" w:lineRule="auto"/>
        <w:jc w:val="both"/>
        <w:rPr>
          <w:rFonts w:eastAsia="Times New Roman" w:cstheme="minorHAnsi"/>
          <w:bCs/>
          <w:sz w:val="24"/>
          <w:szCs w:val="24"/>
        </w:rPr>
      </w:pPr>
      <w:r>
        <w:rPr>
          <w:noProof/>
        </w:rPr>
        <w:drawing>
          <wp:inline distT="0" distB="0" distL="0" distR="0" wp14:anchorId="2CC6D192" wp14:editId="6262955E">
            <wp:extent cx="6353175" cy="2607945"/>
            <wp:effectExtent l="0" t="0" r="9525" b="1905"/>
            <wp:docPr id="45" name="Γράφημα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121B" w:rsidRPr="0031121B" w:rsidRDefault="0031121B" w:rsidP="00700BFC">
      <w:pPr>
        <w:pStyle w:val="a3"/>
        <w:spacing w:after="0" w:line="360" w:lineRule="auto"/>
        <w:ind w:left="0"/>
        <w:jc w:val="both"/>
        <w:rPr>
          <w:rFonts w:cstheme="minorHAnsi"/>
          <w:sz w:val="24"/>
          <w:szCs w:val="24"/>
        </w:rPr>
      </w:pPr>
      <w:r w:rsidRPr="0031121B">
        <w:rPr>
          <w:rFonts w:cstheme="minorHAnsi"/>
          <w:sz w:val="24"/>
          <w:szCs w:val="24"/>
        </w:rPr>
        <w:t xml:space="preserve">Το Γράφημα 15 παρουσιάζει την πηγή χρηματοδότησης επενδύσεων σε σχέση με τον κλάδο. Όπως φαίνεται, σε όλους τους τομείς δραστηριότητας, τα ίδια κεφάλαια αποτελούν βασική πηγή χρηματοδότησης. Ιδιαίτερα στον τομέα των υπηρεσιών, το 85,0%, των </w:t>
      </w:r>
      <w:r w:rsidR="008914DB">
        <w:rPr>
          <w:rFonts w:cstheme="minorHAnsi"/>
          <w:sz w:val="24"/>
          <w:szCs w:val="24"/>
        </w:rPr>
        <w:t>επιχειρήσεων που πραγματοποίησε επενδύσεις τις χρηματοδότησε</w:t>
      </w:r>
      <w:r w:rsidRPr="0031121B">
        <w:rPr>
          <w:rFonts w:cstheme="minorHAnsi"/>
          <w:sz w:val="24"/>
          <w:szCs w:val="24"/>
        </w:rPr>
        <w:t xml:space="preserve"> με ίδια κεφάλαια, το 6,5% μέσω προγραμμάτων ΕΣΠΑ και το 2,8% με τραπεζικό δανεισμό.</w:t>
      </w:r>
    </w:p>
    <w:p w:rsidR="00F35452" w:rsidRPr="001B2706" w:rsidRDefault="0031121B" w:rsidP="00700BFC">
      <w:pPr>
        <w:pStyle w:val="a3"/>
        <w:spacing w:after="0" w:line="360" w:lineRule="auto"/>
        <w:ind w:left="0"/>
        <w:jc w:val="both"/>
        <w:rPr>
          <w:b/>
          <w:sz w:val="24"/>
          <w:szCs w:val="24"/>
          <w:u w:val="single"/>
          <w:lang w:val="en-US"/>
        </w:rPr>
      </w:pPr>
      <w:r w:rsidRPr="0031121B">
        <w:rPr>
          <w:rFonts w:ascii="Calibri Light" w:hAnsi="Calibri Light" w:cs="Calibri Light"/>
        </w:rPr>
        <w:t xml:space="preserve"> </w:t>
      </w:r>
      <w:r w:rsidR="00B6363E">
        <w:rPr>
          <w:noProof/>
        </w:rPr>
        <w:drawing>
          <wp:inline distT="0" distB="0" distL="0" distR="0" wp14:anchorId="7B09345A" wp14:editId="2B2A4E8B">
            <wp:extent cx="6543675" cy="2438400"/>
            <wp:effectExtent l="0" t="0" r="9525" b="19050"/>
            <wp:docPr id="46" name="Γράφημα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60539" w:rsidRDefault="0099643D" w:rsidP="00700BFC">
      <w:pPr>
        <w:pStyle w:val="a3"/>
        <w:numPr>
          <w:ilvl w:val="0"/>
          <w:numId w:val="4"/>
        </w:numPr>
        <w:spacing w:after="0" w:line="360" w:lineRule="auto"/>
        <w:jc w:val="both"/>
        <w:rPr>
          <w:b/>
          <w:sz w:val="24"/>
          <w:szCs w:val="24"/>
          <w:u w:val="single"/>
        </w:rPr>
      </w:pPr>
      <w:r w:rsidRPr="006F0645">
        <w:rPr>
          <w:b/>
          <w:sz w:val="24"/>
          <w:szCs w:val="24"/>
          <w:u w:val="single"/>
        </w:rPr>
        <w:lastRenderedPageBreak/>
        <w:t xml:space="preserve">Τιμές </w:t>
      </w:r>
    </w:p>
    <w:p w:rsidR="00A11F1C" w:rsidRDefault="00CC2984" w:rsidP="00700BFC">
      <w:pPr>
        <w:spacing w:after="0" w:line="360" w:lineRule="auto"/>
        <w:jc w:val="both"/>
        <w:rPr>
          <w:sz w:val="24"/>
          <w:szCs w:val="24"/>
        </w:rPr>
      </w:pPr>
      <w:r w:rsidRPr="00CC2984">
        <w:rPr>
          <w:sz w:val="24"/>
          <w:szCs w:val="24"/>
        </w:rPr>
        <w:t>Η πληθωριστική κρίση που βιώνουμε από το 1</w:t>
      </w:r>
      <w:r w:rsidRPr="00CC2984">
        <w:rPr>
          <w:sz w:val="24"/>
          <w:szCs w:val="24"/>
          <w:vertAlign w:val="superscript"/>
        </w:rPr>
        <w:t>ο</w:t>
      </w:r>
      <w:r w:rsidRPr="00CC2984">
        <w:rPr>
          <w:sz w:val="24"/>
          <w:szCs w:val="24"/>
        </w:rPr>
        <w:t xml:space="preserve"> εξάμηνο του 2021 </w:t>
      </w:r>
      <w:r w:rsidR="008914DB">
        <w:rPr>
          <w:sz w:val="24"/>
          <w:szCs w:val="24"/>
        </w:rPr>
        <w:t>η οποία</w:t>
      </w:r>
      <w:r>
        <w:rPr>
          <w:sz w:val="24"/>
          <w:szCs w:val="24"/>
        </w:rPr>
        <w:t xml:space="preserve"> προκλήθηκε αρχικά από την κρίση προσφοράς που έφερε η διατάραξη των εφοδιαστικών αλυσίδων λόγω της πανδημίας και εντάθηκε στη συνέχεια </w:t>
      </w:r>
      <w:r w:rsidR="0087257C">
        <w:rPr>
          <w:sz w:val="24"/>
          <w:szCs w:val="24"/>
        </w:rPr>
        <w:t xml:space="preserve">με την εκδήλωση της ενεργειακής κρίσης και περαιτέρω με το ξέσπασμα </w:t>
      </w:r>
      <w:r>
        <w:rPr>
          <w:sz w:val="24"/>
          <w:szCs w:val="24"/>
        </w:rPr>
        <w:t xml:space="preserve">του πολέμου στην Ουκρανία είχε </w:t>
      </w:r>
      <w:r w:rsidR="009966BE">
        <w:rPr>
          <w:sz w:val="24"/>
          <w:szCs w:val="24"/>
        </w:rPr>
        <w:t xml:space="preserve">ως αποτέλεσμα την αύξηση </w:t>
      </w:r>
      <w:r w:rsidR="0087257C">
        <w:rPr>
          <w:sz w:val="24"/>
          <w:szCs w:val="24"/>
        </w:rPr>
        <w:t xml:space="preserve">του </w:t>
      </w:r>
      <w:r w:rsidR="009966BE">
        <w:rPr>
          <w:sz w:val="24"/>
          <w:szCs w:val="24"/>
        </w:rPr>
        <w:t xml:space="preserve">κόστους λειτουργίας των επιχειρήσεων και </w:t>
      </w:r>
      <w:proofErr w:type="spellStart"/>
      <w:r w:rsidR="009966BE">
        <w:rPr>
          <w:sz w:val="24"/>
          <w:szCs w:val="24"/>
        </w:rPr>
        <w:t>κατ΄</w:t>
      </w:r>
      <w:proofErr w:type="spellEnd"/>
      <w:r w:rsidR="009966BE">
        <w:rPr>
          <w:sz w:val="24"/>
          <w:szCs w:val="24"/>
        </w:rPr>
        <w:t xml:space="preserve"> επέκταση την αύξηση των τιμών </w:t>
      </w:r>
      <w:r w:rsidR="008914DB">
        <w:rPr>
          <w:sz w:val="24"/>
          <w:szCs w:val="24"/>
        </w:rPr>
        <w:t>στα προϊόντα και τις υπηρεσίες που προσφέρουν</w:t>
      </w:r>
      <w:r>
        <w:rPr>
          <w:sz w:val="24"/>
          <w:szCs w:val="24"/>
        </w:rPr>
        <w:t>.</w:t>
      </w:r>
    </w:p>
    <w:p w:rsidR="009966BE" w:rsidRPr="00CC2984" w:rsidRDefault="009966BE" w:rsidP="00700BFC">
      <w:pPr>
        <w:spacing w:after="0" w:line="360" w:lineRule="auto"/>
        <w:jc w:val="both"/>
        <w:rPr>
          <w:sz w:val="24"/>
          <w:szCs w:val="24"/>
        </w:rPr>
      </w:pPr>
      <w:r>
        <w:rPr>
          <w:sz w:val="24"/>
          <w:szCs w:val="24"/>
        </w:rPr>
        <w:t xml:space="preserve">Οι επιχειρήσεις που δήλωσαν ότι αύξησαν τις τιμές τους διαρκώς αυξάνονται καθώς από 6,6% </w:t>
      </w:r>
      <w:r w:rsidR="0087257C">
        <w:rPr>
          <w:sz w:val="24"/>
          <w:szCs w:val="24"/>
        </w:rPr>
        <w:t>που ήταν</w:t>
      </w:r>
      <w:r>
        <w:rPr>
          <w:sz w:val="24"/>
          <w:szCs w:val="24"/>
        </w:rPr>
        <w:t xml:space="preserve"> το 2</w:t>
      </w:r>
      <w:r w:rsidRPr="009966BE">
        <w:rPr>
          <w:sz w:val="24"/>
          <w:szCs w:val="24"/>
          <w:vertAlign w:val="superscript"/>
        </w:rPr>
        <w:t>ο</w:t>
      </w:r>
      <w:r w:rsidR="0087257C">
        <w:rPr>
          <w:sz w:val="24"/>
          <w:szCs w:val="24"/>
        </w:rPr>
        <w:t xml:space="preserve"> εξάμηνο του 2020, ανήλθαν στο</w:t>
      </w:r>
      <w:r>
        <w:rPr>
          <w:sz w:val="24"/>
          <w:szCs w:val="24"/>
        </w:rPr>
        <w:t xml:space="preserve"> 23,6% το 1</w:t>
      </w:r>
      <w:r w:rsidRPr="009966BE">
        <w:rPr>
          <w:sz w:val="24"/>
          <w:szCs w:val="24"/>
          <w:vertAlign w:val="superscript"/>
        </w:rPr>
        <w:t>ο</w:t>
      </w:r>
      <w:r>
        <w:rPr>
          <w:sz w:val="24"/>
          <w:szCs w:val="24"/>
        </w:rPr>
        <w:t xml:space="preserve"> εξάμηνο του 2021,</w:t>
      </w:r>
      <w:r w:rsidR="0087257C">
        <w:rPr>
          <w:sz w:val="24"/>
          <w:szCs w:val="24"/>
        </w:rPr>
        <w:t xml:space="preserve"> στο</w:t>
      </w:r>
      <w:r>
        <w:rPr>
          <w:sz w:val="24"/>
          <w:szCs w:val="24"/>
        </w:rPr>
        <w:t xml:space="preserve"> 34,8% το 2</w:t>
      </w:r>
      <w:r w:rsidRPr="009966BE">
        <w:rPr>
          <w:sz w:val="24"/>
          <w:szCs w:val="24"/>
          <w:vertAlign w:val="superscript"/>
        </w:rPr>
        <w:t>ο</w:t>
      </w:r>
      <w:r>
        <w:rPr>
          <w:sz w:val="24"/>
          <w:szCs w:val="24"/>
        </w:rPr>
        <w:t xml:space="preserve"> εξάμηνο του 2021 και </w:t>
      </w:r>
      <w:r w:rsidR="0087257C">
        <w:rPr>
          <w:sz w:val="24"/>
          <w:szCs w:val="24"/>
        </w:rPr>
        <w:t xml:space="preserve">στο </w:t>
      </w:r>
      <w:r>
        <w:rPr>
          <w:sz w:val="24"/>
          <w:szCs w:val="24"/>
        </w:rPr>
        <w:t>59,2% το 1</w:t>
      </w:r>
      <w:r w:rsidRPr="009966BE">
        <w:rPr>
          <w:sz w:val="24"/>
          <w:szCs w:val="24"/>
          <w:vertAlign w:val="superscript"/>
        </w:rPr>
        <w:t>ο</w:t>
      </w:r>
      <w:r>
        <w:rPr>
          <w:sz w:val="24"/>
          <w:szCs w:val="24"/>
        </w:rPr>
        <w:t xml:space="preserve"> εξάμηνο του 2022. Αντίστοιχα, την ίδια περίοδο, βλέπουμε να μειώνονται σημαντικά οι επιχειρήσεις που δήλωσαν ότι μείωσαν τις τιμές τους καθώς και </w:t>
      </w:r>
      <w:r w:rsidR="008914DB">
        <w:rPr>
          <w:sz w:val="24"/>
          <w:szCs w:val="24"/>
        </w:rPr>
        <w:t>όσες</w:t>
      </w:r>
      <w:r>
        <w:rPr>
          <w:sz w:val="24"/>
          <w:szCs w:val="24"/>
        </w:rPr>
        <w:t xml:space="preserve"> τις διατήρησαν </w:t>
      </w:r>
      <w:r w:rsidR="0087257C">
        <w:rPr>
          <w:sz w:val="24"/>
          <w:szCs w:val="24"/>
        </w:rPr>
        <w:t>σταθερές</w:t>
      </w:r>
      <w:r>
        <w:rPr>
          <w:sz w:val="24"/>
          <w:szCs w:val="24"/>
        </w:rPr>
        <w:t xml:space="preserve">. </w:t>
      </w:r>
    </w:p>
    <w:p w:rsidR="00DE5E91" w:rsidRDefault="00DE5E91" w:rsidP="00700BFC">
      <w:pPr>
        <w:spacing w:after="0" w:line="360" w:lineRule="auto"/>
        <w:jc w:val="both"/>
        <w:rPr>
          <w:b/>
          <w:sz w:val="24"/>
          <w:szCs w:val="24"/>
          <w:u w:val="single"/>
        </w:rPr>
      </w:pPr>
    </w:p>
    <w:p w:rsidR="00DE5E91" w:rsidRPr="0011771B" w:rsidRDefault="007E0289" w:rsidP="00700BFC">
      <w:pPr>
        <w:spacing w:after="0" w:line="360" w:lineRule="auto"/>
        <w:jc w:val="both"/>
        <w:rPr>
          <w:sz w:val="24"/>
          <w:szCs w:val="24"/>
        </w:rPr>
      </w:pPr>
      <w:r>
        <w:rPr>
          <w:noProof/>
        </w:rPr>
        <w:drawing>
          <wp:inline distT="0" distB="0" distL="0" distR="0" wp14:anchorId="1113E8EA" wp14:editId="43DB183F">
            <wp:extent cx="6301740" cy="3232785"/>
            <wp:effectExtent l="0" t="0" r="3810" b="5715"/>
            <wp:docPr id="47" name="Γράφημα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1F1C" w:rsidRDefault="0011771B" w:rsidP="00700BFC">
      <w:pPr>
        <w:spacing w:after="0" w:line="360" w:lineRule="auto"/>
        <w:jc w:val="both"/>
        <w:rPr>
          <w:sz w:val="24"/>
          <w:szCs w:val="24"/>
        </w:rPr>
      </w:pPr>
      <w:r>
        <w:rPr>
          <w:sz w:val="24"/>
          <w:szCs w:val="24"/>
        </w:rPr>
        <w:t>Σε κλαδικό επίπεδο, οι επιχειρήσεις στο εμπόριο και στη μεταποίηση δήλωσαν σε μεγαλύτερο ποσοστό ότι αύξησαν τις τιμές τους (66,2% και 66,3%</w:t>
      </w:r>
      <w:r w:rsidR="0087257C">
        <w:rPr>
          <w:sz w:val="24"/>
          <w:szCs w:val="24"/>
        </w:rPr>
        <w:t xml:space="preserve"> αντίστοιχα</w:t>
      </w:r>
      <w:r>
        <w:rPr>
          <w:sz w:val="24"/>
          <w:szCs w:val="24"/>
        </w:rPr>
        <w:t>) σε σχέση με τις επιχειρήσεις στον ευρύτερο τομέα των υπηρεσιών (47,9%).</w:t>
      </w:r>
      <w:r w:rsidR="00062E8B">
        <w:rPr>
          <w:sz w:val="24"/>
          <w:szCs w:val="24"/>
        </w:rPr>
        <w:t xml:space="preserve"> Εξαίρεση στον τομέα των υπηρεσιών αποτελεί ο </w:t>
      </w:r>
      <w:proofErr w:type="spellStart"/>
      <w:r w:rsidR="00062E8B">
        <w:rPr>
          <w:sz w:val="24"/>
          <w:szCs w:val="24"/>
        </w:rPr>
        <w:t>υποκλάδος</w:t>
      </w:r>
      <w:proofErr w:type="spellEnd"/>
      <w:r w:rsidR="00062E8B">
        <w:rPr>
          <w:sz w:val="24"/>
          <w:szCs w:val="24"/>
        </w:rPr>
        <w:t xml:space="preserve"> της εστίασης στον οποίο η συντριπτική </w:t>
      </w:r>
      <w:r w:rsidR="0090154E">
        <w:rPr>
          <w:sz w:val="24"/>
          <w:szCs w:val="24"/>
        </w:rPr>
        <w:t>πλειονότητα</w:t>
      </w:r>
      <w:r w:rsidR="00062E8B">
        <w:rPr>
          <w:sz w:val="24"/>
          <w:szCs w:val="24"/>
        </w:rPr>
        <w:t xml:space="preserve"> των επιχειρήσεων (61,6%) δήλωσ</w:t>
      </w:r>
      <w:r w:rsidR="008914DB">
        <w:rPr>
          <w:sz w:val="24"/>
          <w:szCs w:val="24"/>
        </w:rPr>
        <w:t>ε ότι αύξησε τις τιμές του</w:t>
      </w:r>
      <w:r w:rsidR="00A11F1C">
        <w:rPr>
          <w:sz w:val="24"/>
          <w:szCs w:val="24"/>
        </w:rPr>
        <w:t xml:space="preserve"> </w:t>
      </w:r>
      <w:r w:rsidR="00A11F1C" w:rsidRPr="00547A9B">
        <w:rPr>
          <w:rFonts w:ascii="Calibri" w:eastAsia="Calibri" w:hAnsi="Calibri" w:cs="Times New Roman"/>
          <w:sz w:val="24"/>
          <w:szCs w:val="24"/>
        </w:rPr>
        <w:t>κάτι το οποίο είναι αναμενόμενο καθώς οι αυξήσεις σε βασικά αγαθά που χρησιμοποιούνται στη</w:t>
      </w:r>
      <w:r w:rsidR="008914DB">
        <w:rPr>
          <w:rFonts w:ascii="Calibri" w:eastAsia="Calibri" w:hAnsi="Calibri" w:cs="Times New Roman"/>
          <w:sz w:val="24"/>
          <w:szCs w:val="24"/>
        </w:rPr>
        <w:t>ν εστίαση όπως ενέργεια, αλεύρι και</w:t>
      </w:r>
      <w:r w:rsidR="00A11F1C" w:rsidRPr="00547A9B">
        <w:rPr>
          <w:rFonts w:ascii="Calibri" w:eastAsia="Calibri" w:hAnsi="Calibri" w:cs="Times New Roman"/>
          <w:sz w:val="24"/>
          <w:szCs w:val="24"/>
        </w:rPr>
        <w:t xml:space="preserve"> ηλιέλαιο μετά την έναρξη του πολέμου στην Ουκρανία έχουν πλήξει από πολλές μεριές τις δραστηριότητες που σχετίζονται με </w:t>
      </w:r>
      <w:r w:rsidR="0090154E">
        <w:rPr>
          <w:rFonts w:ascii="Calibri" w:eastAsia="Calibri" w:hAnsi="Calibri" w:cs="Times New Roman"/>
          <w:sz w:val="24"/>
          <w:szCs w:val="24"/>
        </w:rPr>
        <w:t xml:space="preserve"> τα </w:t>
      </w:r>
      <w:r w:rsidR="00A11F1C" w:rsidRPr="00547A9B">
        <w:rPr>
          <w:rFonts w:ascii="Calibri" w:eastAsia="Calibri" w:hAnsi="Calibri" w:cs="Times New Roman"/>
          <w:sz w:val="24"/>
          <w:szCs w:val="24"/>
        </w:rPr>
        <w:t>τρόφιμα.</w:t>
      </w:r>
      <w:r w:rsidR="00A11F1C">
        <w:rPr>
          <w:rFonts w:ascii="Calibri" w:eastAsia="Calibri" w:hAnsi="Calibri" w:cs="Times New Roman"/>
          <w:sz w:val="24"/>
          <w:szCs w:val="24"/>
        </w:rPr>
        <w:t xml:space="preserve"> Σύμφωνα με στοιχεία της Τράπεζας της Ελλάδος η </w:t>
      </w:r>
      <w:proofErr w:type="spellStart"/>
      <w:r w:rsidR="00A11F1C">
        <w:rPr>
          <w:rFonts w:ascii="Calibri" w:eastAsia="Calibri" w:hAnsi="Calibri" w:cs="Times New Roman"/>
          <w:sz w:val="24"/>
          <w:szCs w:val="24"/>
        </w:rPr>
        <w:t>μεσοσταθμική</w:t>
      </w:r>
      <w:proofErr w:type="spellEnd"/>
      <w:r w:rsidR="00A11F1C">
        <w:rPr>
          <w:rFonts w:ascii="Calibri" w:eastAsia="Calibri" w:hAnsi="Calibri" w:cs="Times New Roman"/>
          <w:sz w:val="24"/>
          <w:szCs w:val="24"/>
        </w:rPr>
        <w:t xml:space="preserve"> μηνιαία αύξηση των τιμών στην ενέργεια το 1</w:t>
      </w:r>
      <w:r w:rsidR="00A11F1C" w:rsidRPr="00A11F1C">
        <w:rPr>
          <w:rFonts w:ascii="Calibri" w:eastAsia="Calibri" w:hAnsi="Calibri" w:cs="Times New Roman"/>
          <w:sz w:val="24"/>
          <w:szCs w:val="24"/>
          <w:vertAlign w:val="superscript"/>
        </w:rPr>
        <w:t>ο</w:t>
      </w:r>
      <w:r w:rsidR="00A11F1C">
        <w:rPr>
          <w:rFonts w:ascii="Calibri" w:eastAsia="Calibri" w:hAnsi="Calibri" w:cs="Times New Roman"/>
          <w:sz w:val="24"/>
          <w:szCs w:val="24"/>
        </w:rPr>
        <w:t xml:space="preserve"> εξάμηνο του 2022 σε σχέση με το </w:t>
      </w:r>
      <w:r w:rsidR="00A11F1C">
        <w:rPr>
          <w:rFonts w:ascii="Calibri" w:eastAsia="Calibri" w:hAnsi="Calibri" w:cs="Times New Roman"/>
          <w:sz w:val="24"/>
          <w:szCs w:val="24"/>
        </w:rPr>
        <w:lastRenderedPageBreak/>
        <w:t xml:space="preserve">αντίστοιχο εξάμηνο του προηγούμενο έτους ήταν 52,5% στην ενέργεια, </w:t>
      </w:r>
      <w:r w:rsidR="008D1C0E">
        <w:rPr>
          <w:rFonts w:ascii="Calibri" w:eastAsia="Calibri" w:hAnsi="Calibri" w:cs="Times New Roman"/>
          <w:sz w:val="24"/>
          <w:szCs w:val="24"/>
        </w:rPr>
        <w:t xml:space="preserve">10,5% στα μη επεξεργασμένα είδη διατροφής και 6,5% στα επεξεργασμένα είδη διατροφής. </w:t>
      </w:r>
    </w:p>
    <w:p w:rsidR="00C60420" w:rsidRDefault="00907FE3" w:rsidP="00700BFC">
      <w:pPr>
        <w:spacing w:after="0" w:line="360" w:lineRule="auto"/>
        <w:jc w:val="both"/>
        <w:rPr>
          <w:b/>
          <w:sz w:val="24"/>
          <w:szCs w:val="24"/>
          <w:u w:val="single"/>
        </w:rPr>
      </w:pPr>
      <w:r>
        <w:rPr>
          <w:sz w:val="24"/>
          <w:szCs w:val="24"/>
        </w:rPr>
        <w:t>Τέλος</w:t>
      </w:r>
      <w:r w:rsidR="0090154E">
        <w:rPr>
          <w:sz w:val="24"/>
          <w:szCs w:val="24"/>
        </w:rPr>
        <w:t>,</w:t>
      </w:r>
      <w:r>
        <w:rPr>
          <w:sz w:val="24"/>
          <w:szCs w:val="24"/>
        </w:rPr>
        <w:t xml:space="preserve"> σε γεωγραφικό επίπεδο, παρατηρούμε ότι στις τουριστικές περιοχές είχαμε μεγαλύτερη αύξηση των τιμών με το 64,4% των επιχειρήσεων που είναι εγκατεστημένες στα νησιά του Αιγαίου και την Κρήτη να δηλώνουν ότι προχώρησαν σε αύξηση τιμών.</w:t>
      </w:r>
    </w:p>
    <w:tbl>
      <w:tblPr>
        <w:tblW w:w="5000" w:type="pct"/>
        <w:tblLook w:val="04A0" w:firstRow="1" w:lastRow="0" w:firstColumn="1" w:lastColumn="0" w:noHBand="0" w:noVBand="1"/>
      </w:tblPr>
      <w:tblGrid>
        <w:gridCol w:w="1428"/>
        <w:gridCol w:w="1197"/>
        <w:gridCol w:w="1154"/>
        <w:gridCol w:w="978"/>
        <w:gridCol w:w="966"/>
        <w:gridCol w:w="968"/>
        <w:gridCol w:w="970"/>
        <w:gridCol w:w="976"/>
        <w:gridCol w:w="976"/>
        <w:gridCol w:w="1092"/>
      </w:tblGrid>
      <w:tr w:rsidR="00DE5E91" w:rsidRPr="00DE5E91" w:rsidTr="00DE5E9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vAlign w:val="bottom"/>
            <w:hideMark/>
          </w:tcPr>
          <w:p w:rsidR="00DE5E91" w:rsidRDefault="00DE5E91" w:rsidP="00700BFC">
            <w:pPr>
              <w:spacing w:after="0"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ΠΙΝΑΚΑΣ </w:t>
            </w:r>
            <w:r w:rsidR="00E732C2">
              <w:rPr>
                <w:rFonts w:ascii="Calibri" w:eastAsia="Times New Roman" w:hAnsi="Calibri" w:cs="Calibri"/>
                <w:b/>
                <w:bCs/>
                <w:color w:val="000000"/>
                <w:sz w:val="24"/>
                <w:szCs w:val="24"/>
              </w:rPr>
              <w:t>8</w:t>
            </w:r>
          </w:p>
          <w:p w:rsidR="00DE5E91" w:rsidRPr="00DE5E91" w:rsidRDefault="00DE5E91" w:rsidP="00700BFC">
            <w:pPr>
              <w:spacing w:after="0" w:line="360" w:lineRule="auto"/>
              <w:jc w:val="center"/>
              <w:rPr>
                <w:rFonts w:ascii="Calibri" w:eastAsia="Times New Roman" w:hAnsi="Calibri" w:cs="Calibri"/>
                <w:b/>
                <w:bCs/>
                <w:color w:val="000000"/>
                <w:sz w:val="24"/>
                <w:szCs w:val="24"/>
              </w:rPr>
            </w:pPr>
            <w:r w:rsidRPr="00DE5E91">
              <w:rPr>
                <w:rFonts w:ascii="Calibri" w:eastAsia="Times New Roman" w:hAnsi="Calibri" w:cs="Calibri"/>
                <w:b/>
                <w:bCs/>
                <w:color w:val="000000"/>
                <w:sz w:val="24"/>
                <w:szCs w:val="24"/>
              </w:rPr>
              <w:t>Τιμές πώλησης αγαθών/υπηρεσιών πρώτου εξαμήνου 2022</w:t>
            </w:r>
          </w:p>
        </w:tc>
      </w:tr>
      <w:tr w:rsidR="002B7D15" w:rsidRPr="00DE5E91" w:rsidTr="00A94CEE">
        <w:trPr>
          <w:trHeight w:val="300"/>
        </w:trPr>
        <w:tc>
          <w:tcPr>
            <w:tcW w:w="667" w:type="pct"/>
            <w:vMerge w:val="restart"/>
            <w:tcBorders>
              <w:top w:val="nil"/>
              <w:left w:val="single" w:sz="4" w:space="0" w:color="auto"/>
              <w:right w:val="single" w:sz="4" w:space="0" w:color="auto"/>
            </w:tcBorders>
            <w:shd w:val="clear" w:color="D9E1F2" w:fill="D9E1F2"/>
            <w:noWrap/>
            <w:vAlign w:val="bottom"/>
            <w:hideMark/>
          </w:tcPr>
          <w:p w:rsidR="002B7D15" w:rsidRPr="00DE5E91" w:rsidRDefault="002B7D15" w:rsidP="00700BFC">
            <w:pPr>
              <w:spacing w:after="0" w:line="360" w:lineRule="auto"/>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 </w:t>
            </w:r>
          </w:p>
          <w:p w:rsidR="002B7D15" w:rsidRPr="00DE5E91" w:rsidRDefault="002B7D15" w:rsidP="00700BFC">
            <w:pPr>
              <w:spacing w:after="0" w:line="360" w:lineRule="auto"/>
              <w:rPr>
                <w:rFonts w:ascii="Calibri" w:eastAsia="Times New Roman" w:hAnsi="Calibri" w:cs="Calibri"/>
                <w:b/>
                <w:bCs/>
                <w:color w:val="000000"/>
                <w:sz w:val="16"/>
                <w:szCs w:val="16"/>
              </w:rPr>
            </w:pPr>
          </w:p>
        </w:tc>
        <w:tc>
          <w:tcPr>
            <w:tcW w:w="1555" w:type="pct"/>
            <w:gridSpan w:val="3"/>
            <w:tcBorders>
              <w:top w:val="single" w:sz="4" w:space="0" w:color="auto"/>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ΚΛΑΔΟΣ</w:t>
            </w:r>
          </w:p>
        </w:tc>
        <w:tc>
          <w:tcPr>
            <w:tcW w:w="2778" w:type="pct"/>
            <w:gridSpan w:val="6"/>
            <w:tcBorders>
              <w:top w:val="single" w:sz="4" w:space="0" w:color="auto"/>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ΕΤΗΣΙΟΣ ΚΥΚΛΟΣ ΕΡΓΑΣΙΩΝ</w:t>
            </w:r>
          </w:p>
        </w:tc>
      </w:tr>
      <w:tr w:rsidR="002B7D15" w:rsidRPr="00DE5E91" w:rsidTr="00A94CEE">
        <w:trPr>
          <w:trHeight w:val="600"/>
        </w:trPr>
        <w:tc>
          <w:tcPr>
            <w:tcW w:w="667" w:type="pct"/>
            <w:vMerge/>
            <w:tcBorders>
              <w:left w:val="single" w:sz="4" w:space="0" w:color="auto"/>
              <w:bottom w:val="single" w:sz="4" w:space="0" w:color="auto"/>
              <w:right w:val="single" w:sz="4" w:space="0" w:color="auto"/>
            </w:tcBorders>
            <w:shd w:val="clear" w:color="D9E1F2" w:fill="D9E1F2"/>
            <w:noWrap/>
            <w:vAlign w:val="bottom"/>
            <w:hideMark/>
          </w:tcPr>
          <w:p w:rsidR="002B7D15" w:rsidRPr="00DE5E91" w:rsidRDefault="002B7D15" w:rsidP="00700BFC">
            <w:pPr>
              <w:spacing w:after="0" w:line="360" w:lineRule="auto"/>
              <w:rPr>
                <w:rFonts w:ascii="Calibri" w:eastAsia="Times New Roman" w:hAnsi="Calibri" w:cs="Calibri"/>
                <w:b/>
                <w:bCs/>
                <w:color w:val="000000"/>
                <w:sz w:val="16"/>
                <w:szCs w:val="16"/>
              </w:rPr>
            </w:pPr>
          </w:p>
        </w:tc>
        <w:tc>
          <w:tcPr>
            <w:tcW w:w="559"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Εμπόριο</w:t>
            </w:r>
          </w:p>
        </w:tc>
        <w:tc>
          <w:tcPr>
            <w:tcW w:w="539"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Μεταποίηση</w:t>
            </w:r>
          </w:p>
        </w:tc>
        <w:tc>
          <w:tcPr>
            <w:tcW w:w="457"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Υπηρεσίες</w:t>
            </w:r>
          </w:p>
        </w:tc>
        <w:tc>
          <w:tcPr>
            <w:tcW w:w="451" w:type="pct"/>
            <w:tcBorders>
              <w:top w:val="nil"/>
              <w:left w:val="nil"/>
              <w:bottom w:val="single" w:sz="4" w:space="0" w:color="auto"/>
              <w:right w:val="single" w:sz="4" w:space="0" w:color="auto"/>
            </w:tcBorders>
            <w:shd w:val="clear" w:color="D9E1F2" w:fill="D9E1F2"/>
            <w:vAlign w:val="bottom"/>
            <w:hideMark/>
          </w:tcPr>
          <w:p w:rsidR="002B7D15" w:rsidRDefault="002B7D15" w:rsidP="00700BFC">
            <w:pPr>
              <w:spacing w:after="0" w:line="36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p>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 xml:space="preserve"> 50.000 €</w:t>
            </w:r>
          </w:p>
        </w:tc>
        <w:tc>
          <w:tcPr>
            <w:tcW w:w="452"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50.000 - 100.000 €</w:t>
            </w:r>
          </w:p>
        </w:tc>
        <w:tc>
          <w:tcPr>
            <w:tcW w:w="453"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100.001 - 300.000 €</w:t>
            </w:r>
          </w:p>
        </w:tc>
        <w:tc>
          <w:tcPr>
            <w:tcW w:w="456"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300.001 - 500.000 €</w:t>
            </w:r>
          </w:p>
        </w:tc>
        <w:tc>
          <w:tcPr>
            <w:tcW w:w="456"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500.001 - 1.000.000 €</w:t>
            </w:r>
          </w:p>
        </w:tc>
        <w:tc>
          <w:tcPr>
            <w:tcW w:w="510"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Πάνω από 1.000.000 €</w:t>
            </w:r>
          </w:p>
        </w:tc>
      </w:tr>
      <w:tr w:rsidR="00DE5E91" w:rsidRPr="00DE5E91"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αυξήθηκαν</w:t>
            </w:r>
          </w:p>
        </w:tc>
        <w:tc>
          <w:tcPr>
            <w:tcW w:w="55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66,22%</w:t>
            </w:r>
          </w:p>
        </w:tc>
        <w:tc>
          <w:tcPr>
            <w:tcW w:w="53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66,32%</w:t>
            </w:r>
          </w:p>
        </w:tc>
        <w:tc>
          <w:tcPr>
            <w:tcW w:w="457"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47,90%</w:t>
            </w:r>
          </w:p>
        </w:tc>
        <w:tc>
          <w:tcPr>
            <w:tcW w:w="451"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46,50%</w:t>
            </w:r>
          </w:p>
        </w:tc>
        <w:tc>
          <w:tcPr>
            <w:tcW w:w="452"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61,94%</w:t>
            </w:r>
          </w:p>
        </w:tc>
        <w:tc>
          <w:tcPr>
            <w:tcW w:w="453"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73,91%</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83,33%</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72,73%</w:t>
            </w:r>
          </w:p>
        </w:tc>
        <w:tc>
          <w:tcPr>
            <w:tcW w:w="510"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85,71%</w:t>
            </w:r>
          </w:p>
        </w:tc>
      </w:tr>
      <w:tr w:rsidR="00DE5E91" w:rsidRPr="00DE5E91"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αμετάβλητες</w:t>
            </w:r>
          </w:p>
        </w:tc>
        <w:tc>
          <w:tcPr>
            <w:tcW w:w="55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26,09%</w:t>
            </w:r>
          </w:p>
        </w:tc>
        <w:tc>
          <w:tcPr>
            <w:tcW w:w="53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27,46%</w:t>
            </w:r>
          </w:p>
        </w:tc>
        <w:tc>
          <w:tcPr>
            <w:tcW w:w="457"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42,39%</w:t>
            </w:r>
          </w:p>
        </w:tc>
        <w:tc>
          <w:tcPr>
            <w:tcW w:w="451"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42,02%</w:t>
            </w:r>
          </w:p>
        </w:tc>
        <w:tc>
          <w:tcPr>
            <w:tcW w:w="452"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31,34%</w:t>
            </w:r>
          </w:p>
        </w:tc>
        <w:tc>
          <w:tcPr>
            <w:tcW w:w="453"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21,74%</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13,89%</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24,24%</w:t>
            </w:r>
          </w:p>
        </w:tc>
        <w:tc>
          <w:tcPr>
            <w:tcW w:w="510"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14,29%</w:t>
            </w:r>
          </w:p>
        </w:tc>
      </w:tr>
      <w:tr w:rsidR="00DE5E91" w:rsidRPr="00DE5E91"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μειώθηκαν</w:t>
            </w:r>
          </w:p>
        </w:tc>
        <w:tc>
          <w:tcPr>
            <w:tcW w:w="55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6,35%</w:t>
            </w:r>
          </w:p>
        </w:tc>
        <w:tc>
          <w:tcPr>
            <w:tcW w:w="53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6,22%</w:t>
            </w:r>
          </w:p>
        </w:tc>
        <w:tc>
          <w:tcPr>
            <w:tcW w:w="457"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8,74%</w:t>
            </w:r>
          </w:p>
        </w:tc>
        <w:tc>
          <w:tcPr>
            <w:tcW w:w="451"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10,92%</w:t>
            </w:r>
          </w:p>
        </w:tc>
        <w:tc>
          <w:tcPr>
            <w:tcW w:w="452"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5,97%</w:t>
            </w:r>
          </w:p>
        </w:tc>
        <w:tc>
          <w:tcPr>
            <w:tcW w:w="453"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4,35%</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0,00%</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3,03%</w:t>
            </w:r>
          </w:p>
        </w:tc>
        <w:tc>
          <w:tcPr>
            <w:tcW w:w="510"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0,00%</w:t>
            </w:r>
          </w:p>
        </w:tc>
      </w:tr>
      <w:tr w:rsidR="002B7D15" w:rsidRPr="00DE5E91" w:rsidTr="00A94CEE">
        <w:trPr>
          <w:trHeight w:val="289"/>
        </w:trPr>
        <w:tc>
          <w:tcPr>
            <w:tcW w:w="667" w:type="pct"/>
            <w:vMerge w:val="restart"/>
            <w:tcBorders>
              <w:top w:val="nil"/>
              <w:left w:val="single" w:sz="4" w:space="0" w:color="auto"/>
              <w:right w:val="single" w:sz="4" w:space="0" w:color="auto"/>
            </w:tcBorders>
            <w:shd w:val="clear" w:color="D9E1F2" w:fill="D9E1F2"/>
            <w:noWrap/>
            <w:vAlign w:val="bottom"/>
            <w:hideMark/>
          </w:tcPr>
          <w:p w:rsidR="002B7D15" w:rsidRPr="00DE5E91" w:rsidRDefault="002B7D15" w:rsidP="00700BFC">
            <w:pPr>
              <w:spacing w:after="0" w:line="360" w:lineRule="auto"/>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 </w:t>
            </w:r>
          </w:p>
          <w:p w:rsidR="002B7D15" w:rsidRPr="00DE5E91" w:rsidRDefault="002B7D15" w:rsidP="00700BFC">
            <w:pPr>
              <w:spacing w:after="0" w:line="360" w:lineRule="auto"/>
              <w:rPr>
                <w:rFonts w:ascii="Calibri" w:eastAsia="Times New Roman" w:hAnsi="Calibri" w:cs="Calibri"/>
                <w:b/>
                <w:bCs/>
                <w:color w:val="000000"/>
                <w:sz w:val="16"/>
                <w:szCs w:val="16"/>
              </w:rPr>
            </w:pPr>
          </w:p>
        </w:tc>
        <w:tc>
          <w:tcPr>
            <w:tcW w:w="2006" w:type="pct"/>
            <w:gridSpan w:val="4"/>
            <w:tcBorders>
              <w:top w:val="single" w:sz="4" w:space="0" w:color="auto"/>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ΑΡΙΘΜΟΣ ΕΡΓΑΖΟΜΕΝΩΝ</w:t>
            </w:r>
          </w:p>
        </w:tc>
        <w:tc>
          <w:tcPr>
            <w:tcW w:w="1817" w:type="pct"/>
            <w:gridSpan w:val="4"/>
            <w:tcBorders>
              <w:top w:val="single" w:sz="4" w:space="0" w:color="auto"/>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ΓΕΩΓΡΑΦΙΚΗ ΠΕΡΙΟΧΗ</w:t>
            </w:r>
          </w:p>
        </w:tc>
        <w:tc>
          <w:tcPr>
            <w:tcW w:w="510"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ΥΠΟΚΛΑΔΟΣ</w:t>
            </w:r>
          </w:p>
        </w:tc>
      </w:tr>
      <w:tr w:rsidR="002B7D15" w:rsidRPr="00DE5E91" w:rsidTr="00A94CEE">
        <w:trPr>
          <w:trHeight w:val="900"/>
        </w:trPr>
        <w:tc>
          <w:tcPr>
            <w:tcW w:w="667" w:type="pct"/>
            <w:vMerge/>
            <w:tcBorders>
              <w:left w:val="single" w:sz="4" w:space="0" w:color="auto"/>
              <w:bottom w:val="single" w:sz="4" w:space="0" w:color="auto"/>
              <w:right w:val="single" w:sz="4" w:space="0" w:color="auto"/>
            </w:tcBorders>
            <w:shd w:val="clear" w:color="D9E1F2" w:fill="D9E1F2"/>
            <w:noWrap/>
            <w:vAlign w:val="bottom"/>
            <w:hideMark/>
          </w:tcPr>
          <w:p w:rsidR="002B7D15" w:rsidRPr="00DE5E91" w:rsidRDefault="002B7D15" w:rsidP="00700BFC">
            <w:pPr>
              <w:spacing w:after="0" w:line="360" w:lineRule="auto"/>
              <w:rPr>
                <w:rFonts w:ascii="Calibri" w:eastAsia="Times New Roman" w:hAnsi="Calibri" w:cs="Calibri"/>
                <w:b/>
                <w:bCs/>
                <w:color w:val="000000"/>
                <w:sz w:val="16"/>
                <w:szCs w:val="16"/>
              </w:rPr>
            </w:pPr>
          </w:p>
        </w:tc>
        <w:tc>
          <w:tcPr>
            <w:tcW w:w="559"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Χωρίς προσωπικό</w:t>
            </w:r>
          </w:p>
        </w:tc>
        <w:tc>
          <w:tcPr>
            <w:tcW w:w="539"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1 έως 4</w:t>
            </w:r>
          </w:p>
        </w:tc>
        <w:tc>
          <w:tcPr>
            <w:tcW w:w="457"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5 έως 9</w:t>
            </w:r>
          </w:p>
        </w:tc>
        <w:tc>
          <w:tcPr>
            <w:tcW w:w="451"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10 έως 49</w:t>
            </w:r>
          </w:p>
        </w:tc>
        <w:tc>
          <w:tcPr>
            <w:tcW w:w="452"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EL3 ΑΤΤΙΚΗ</w:t>
            </w:r>
          </w:p>
        </w:tc>
        <w:tc>
          <w:tcPr>
            <w:tcW w:w="453"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EL5 ΒΟΡΕΙΑ ΕΛΛΑΔΑ</w:t>
            </w:r>
          </w:p>
        </w:tc>
        <w:tc>
          <w:tcPr>
            <w:tcW w:w="456"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EL6 ΚΕΝΤΡΙΚΗ ΕΛΛΑΔΑ</w:t>
            </w:r>
          </w:p>
        </w:tc>
        <w:tc>
          <w:tcPr>
            <w:tcW w:w="456"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EL4 ΝΗΣΙΑ ΑΙΓΑΙΟΥ &amp; ΚΡΗΤΗ</w:t>
            </w:r>
          </w:p>
        </w:tc>
        <w:tc>
          <w:tcPr>
            <w:tcW w:w="510" w:type="pct"/>
            <w:tcBorders>
              <w:top w:val="nil"/>
              <w:left w:val="nil"/>
              <w:bottom w:val="single" w:sz="4" w:space="0" w:color="auto"/>
              <w:right w:val="single" w:sz="4" w:space="0" w:color="auto"/>
            </w:tcBorders>
            <w:shd w:val="clear" w:color="D9E1F2" w:fill="D9E1F2"/>
            <w:vAlign w:val="bottom"/>
            <w:hideMark/>
          </w:tcPr>
          <w:p w:rsidR="002B7D15" w:rsidRPr="00DE5E91" w:rsidRDefault="002B7D15" w:rsidP="00700BFC">
            <w:pPr>
              <w:spacing w:after="0" w:line="360" w:lineRule="auto"/>
              <w:jc w:val="center"/>
              <w:rPr>
                <w:rFonts w:ascii="Calibri" w:eastAsia="Times New Roman" w:hAnsi="Calibri" w:cs="Calibri"/>
                <w:b/>
                <w:bCs/>
                <w:color w:val="000000"/>
                <w:sz w:val="16"/>
                <w:szCs w:val="16"/>
              </w:rPr>
            </w:pPr>
            <w:r w:rsidRPr="00DE5E91">
              <w:rPr>
                <w:rFonts w:ascii="Calibri" w:eastAsia="Times New Roman" w:hAnsi="Calibri" w:cs="Calibri"/>
                <w:b/>
                <w:bCs/>
                <w:color w:val="000000"/>
                <w:sz w:val="16"/>
                <w:szCs w:val="16"/>
              </w:rPr>
              <w:t>Εστίαση</w:t>
            </w:r>
          </w:p>
        </w:tc>
      </w:tr>
      <w:tr w:rsidR="00DE5E91" w:rsidRPr="00DE5E91"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αυξήθηκαν</w:t>
            </w:r>
          </w:p>
        </w:tc>
        <w:tc>
          <w:tcPr>
            <w:tcW w:w="55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48,92%</w:t>
            </w:r>
          </w:p>
        </w:tc>
        <w:tc>
          <w:tcPr>
            <w:tcW w:w="53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62,26%</w:t>
            </w:r>
          </w:p>
        </w:tc>
        <w:tc>
          <w:tcPr>
            <w:tcW w:w="457"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70,30%</w:t>
            </w:r>
          </w:p>
        </w:tc>
        <w:tc>
          <w:tcPr>
            <w:tcW w:w="451"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73,08%</w:t>
            </w:r>
          </w:p>
        </w:tc>
        <w:tc>
          <w:tcPr>
            <w:tcW w:w="452"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55,33%</w:t>
            </w:r>
          </w:p>
        </w:tc>
        <w:tc>
          <w:tcPr>
            <w:tcW w:w="453"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59,45%</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61,90%</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64,42%</w:t>
            </w:r>
          </w:p>
        </w:tc>
        <w:tc>
          <w:tcPr>
            <w:tcW w:w="510"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61,64%</w:t>
            </w:r>
          </w:p>
        </w:tc>
      </w:tr>
      <w:tr w:rsidR="00DE5E91" w:rsidRPr="00DE5E91"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αμετάβλητες</w:t>
            </w:r>
          </w:p>
        </w:tc>
        <w:tc>
          <w:tcPr>
            <w:tcW w:w="55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38,85%</w:t>
            </w:r>
          </w:p>
        </w:tc>
        <w:tc>
          <w:tcPr>
            <w:tcW w:w="53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30,85%</w:t>
            </w:r>
          </w:p>
        </w:tc>
        <w:tc>
          <w:tcPr>
            <w:tcW w:w="457"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25,74%</w:t>
            </w:r>
          </w:p>
        </w:tc>
        <w:tc>
          <w:tcPr>
            <w:tcW w:w="451"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25,00%</w:t>
            </w:r>
          </w:p>
        </w:tc>
        <w:tc>
          <w:tcPr>
            <w:tcW w:w="452"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32,99%</w:t>
            </w:r>
          </w:p>
        </w:tc>
        <w:tc>
          <w:tcPr>
            <w:tcW w:w="453"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33,18%</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33,33%</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29,81%</w:t>
            </w:r>
          </w:p>
        </w:tc>
        <w:tc>
          <w:tcPr>
            <w:tcW w:w="510"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36,99%</w:t>
            </w:r>
          </w:p>
        </w:tc>
      </w:tr>
      <w:tr w:rsidR="00DE5E91" w:rsidRPr="00DE5E91" w:rsidTr="00DE5E91">
        <w:trPr>
          <w:trHeight w:val="30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DE5E91" w:rsidRPr="00DE5E91" w:rsidRDefault="00DE5E91" w:rsidP="00700BFC">
            <w:pPr>
              <w:spacing w:after="0" w:line="360" w:lineRule="auto"/>
              <w:rPr>
                <w:rFonts w:ascii="Calibri" w:eastAsia="Times New Roman" w:hAnsi="Calibri" w:cs="Calibri"/>
                <w:color w:val="000000"/>
                <w:sz w:val="16"/>
                <w:szCs w:val="16"/>
              </w:rPr>
            </w:pPr>
            <w:r w:rsidRPr="00DE5E91">
              <w:rPr>
                <w:rFonts w:ascii="Calibri" w:eastAsia="Times New Roman" w:hAnsi="Calibri" w:cs="Calibri"/>
                <w:color w:val="000000"/>
                <w:sz w:val="16"/>
                <w:szCs w:val="16"/>
              </w:rPr>
              <w:t>μειώθηκαν</w:t>
            </w:r>
          </w:p>
        </w:tc>
        <w:tc>
          <w:tcPr>
            <w:tcW w:w="55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10,43%</w:t>
            </w:r>
          </w:p>
        </w:tc>
        <w:tc>
          <w:tcPr>
            <w:tcW w:w="539"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6,61%</w:t>
            </w:r>
          </w:p>
        </w:tc>
        <w:tc>
          <w:tcPr>
            <w:tcW w:w="457"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2,97%</w:t>
            </w:r>
          </w:p>
        </w:tc>
        <w:tc>
          <w:tcPr>
            <w:tcW w:w="451"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1,92%</w:t>
            </w:r>
          </w:p>
        </w:tc>
        <w:tc>
          <w:tcPr>
            <w:tcW w:w="452"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10,65%</w:t>
            </w:r>
          </w:p>
        </w:tc>
        <w:tc>
          <w:tcPr>
            <w:tcW w:w="453"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6,45%</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4,76%</w:t>
            </w:r>
          </w:p>
        </w:tc>
        <w:tc>
          <w:tcPr>
            <w:tcW w:w="456"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3,85%</w:t>
            </w:r>
          </w:p>
        </w:tc>
        <w:tc>
          <w:tcPr>
            <w:tcW w:w="510" w:type="pct"/>
            <w:tcBorders>
              <w:top w:val="nil"/>
              <w:left w:val="nil"/>
              <w:bottom w:val="single" w:sz="4" w:space="0" w:color="auto"/>
              <w:right w:val="single" w:sz="4" w:space="0" w:color="auto"/>
            </w:tcBorders>
            <w:shd w:val="clear" w:color="auto" w:fill="auto"/>
            <w:vAlign w:val="bottom"/>
            <w:hideMark/>
          </w:tcPr>
          <w:p w:rsidR="00DE5E91" w:rsidRPr="00DE5E91" w:rsidRDefault="00DE5E91" w:rsidP="00700BFC">
            <w:pPr>
              <w:spacing w:after="0" w:line="360" w:lineRule="auto"/>
              <w:jc w:val="center"/>
              <w:rPr>
                <w:rFonts w:ascii="Calibri" w:eastAsia="Times New Roman" w:hAnsi="Calibri" w:cs="Calibri"/>
                <w:color w:val="000000"/>
                <w:sz w:val="16"/>
                <w:szCs w:val="16"/>
              </w:rPr>
            </w:pPr>
            <w:r w:rsidRPr="00DE5E91">
              <w:rPr>
                <w:rFonts w:ascii="Calibri" w:eastAsia="Times New Roman" w:hAnsi="Calibri" w:cs="Calibri"/>
                <w:color w:val="000000"/>
                <w:sz w:val="16"/>
                <w:szCs w:val="16"/>
              </w:rPr>
              <w:t>1,37%</w:t>
            </w:r>
          </w:p>
        </w:tc>
      </w:tr>
    </w:tbl>
    <w:p w:rsidR="00F438CB" w:rsidRPr="001B2706" w:rsidRDefault="00F438CB" w:rsidP="00700BFC">
      <w:pPr>
        <w:spacing w:after="0" w:line="360" w:lineRule="auto"/>
        <w:jc w:val="both"/>
        <w:rPr>
          <w:b/>
          <w:sz w:val="24"/>
          <w:szCs w:val="24"/>
          <w:u w:val="single"/>
          <w:lang w:val="en-US"/>
        </w:rPr>
      </w:pPr>
    </w:p>
    <w:p w:rsidR="00F438CB" w:rsidRPr="0071365A" w:rsidRDefault="00B21D26" w:rsidP="00700BFC">
      <w:pPr>
        <w:pStyle w:val="a3"/>
        <w:numPr>
          <w:ilvl w:val="0"/>
          <w:numId w:val="4"/>
        </w:numPr>
        <w:spacing w:after="0" w:line="360" w:lineRule="auto"/>
        <w:jc w:val="both"/>
        <w:rPr>
          <w:b/>
          <w:sz w:val="24"/>
          <w:szCs w:val="24"/>
          <w:u w:val="single"/>
        </w:rPr>
      </w:pPr>
      <w:r w:rsidRPr="0071365A">
        <w:rPr>
          <w:b/>
          <w:sz w:val="24"/>
          <w:szCs w:val="24"/>
          <w:u w:val="single"/>
        </w:rPr>
        <w:t>Επιπτώσεις ανατιμήσεων</w:t>
      </w:r>
    </w:p>
    <w:p w:rsidR="00754D44" w:rsidRPr="00754D44" w:rsidRDefault="00811443" w:rsidP="00700BFC">
      <w:pPr>
        <w:spacing w:after="0" w:line="360" w:lineRule="auto"/>
        <w:jc w:val="both"/>
        <w:rPr>
          <w:sz w:val="24"/>
          <w:szCs w:val="24"/>
        </w:rPr>
      </w:pPr>
      <w:r>
        <w:rPr>
          <w:sz w:val="24"/>
          <w:szCs w:val="24"/>
        </w:rPr>
        <w:t>Οι</w:t>
      </w:r>
      <w:r w:rsidR="00754D44" w:rsidRPr="00754D44">
        <w:rPr>
          <w:sz w:val="24"/>
          <w:szCs w:val="24"/>
        </w:rPr>
        <w:t xml:space="preserve"> αρνητικές επιπτώσεις των ανατιμήσεων</w:t>
      </w:r>
      <w:r>
        <w:rPr>
          <w:sz w:val="24"/>
          <w:szCs w:val="24"/>
        </w:rPr>
        <w:t xml:space="preserve"> για το κόστος λειτουργίας των επιχειρήσεων που είχαν καταγραφεί στην προηγούμενη έρευνα του ΙΜΕ ΓΣΕΒΕΕ (Φεβρουάριος 2022) συνεχίζονται και εντείνονται στην παρούσα έρευνα. </w:t>
      </w:r>
    </w:p>
    <w:p w:rsidR="004D7285" w:rsidRDefault="00811443" w:rsidP="00700BFC">
      <w:pPr>
        <w:spacing w:after="0" w:line="360" w:lineRule="auto"/>
        <w:jc w:val="both"/>
        <w:rPr>
          <w:sz w:val="24"/>
          <w:szCs w:val="24"/>
        </w:rPr>
      </w:pPr>
      <w:r>
        <w:rPr>
          <w:sz w:val="24"/>
          <w:szCs w:val="24"/>
        </w:rPr>
        <w:t>Συγκεκριμένα</w:t>
      </w:r>
      <w:r w:rsidR="004D7285">
        <w:rPr>
          <w:sz w:val="24"/>
          <w:szCs w:val="24"/>
        </w:rPr>
        <w:t>, το πρώτο εξάμηνο του 2022 :</w:t>
      </w:r>
    </w:p>
    <w:p w:rsidR="004D7285" w:rsidRDefault="004D7285" w:rsidP="00700BFC">
      <w:pPr>
        <w:pStyle w:val="a3"/>
        <w:numPr>
          <w:ilvl w:val="0"/>
          <w:numId w:val="1"/>
        </w:numPr>
        <w:spacing w:after="0" w:line="360" w:lineRule="auto"/>
        <w:jc w:val="both"/>
        <w:rPr>
          <w:sz w:val="24"/>
          <w:szCs w:val="24"/>
        </w:rPr>
      </w:pPr>
      <w:r>
        <w:rPr>
          <w:sz w:val="24"/>
          <w:szCs w:val="24"/>
        </w:rPr>
        <w:t xml:space="preserve">το 88,4% των μικρών και πολύ μικρών επιχειρήσεων κατέγραψε αύξηση στο κόστος ενέργειας, </w:t>
      </w:r>
    </w:p>
    <w:p w:rsidR="004D7285" w:rsidRDefault="004D7285" w:rsidP="00700BFC">
      <w:pPr>
        <w:pStyle w:val="a3"/>
        <w:numPr>
          <w:ilvl w:val="0"/>
          <w:numId w:val="1"/>
        </w:numPr>
        <w:spacing w:after="0" w:line="360" w:lineRule="auto"/>
        <w:jc w:val="both"/>
        <w:rPr>
          <w:sz w:val="24"/>
          <w:szCs w:val="24"/>
        </w:rPr>
      </w:pPr>
      <w:r w:rsidRPr="004D7285">
        <w:rPr>
          <w:sz w:val="24"/>
          <w:szCs w:val="24"/>
        </w:rPr>
        <w:t xml:space="preserve">το </w:t>
      </w:r>
      <w:r>
        <w:rPr>
          <w:sz w:val="24"/>
          <w:szCs w:val="24"/>
        </w:rPr>
        <w:t>86</w:t>
      </w:r>
      <w:r w:rsidRPr="004D7285">
        <w:rPr>
          <w:sz w:val="24"/>
          <w:szCs w:val="24"/>
        </w:rPr>
        <w:t xml:space="preserve">% των μικρών και πολύ μικρών επιχειρήσεων κατέγραψε αύξηση στο κόστος </w:t>
      </w:r>
      <w:r>
        <w:rPr>
          <w:sz w:val="24"/>
          <w:szCs w:val="24"/>
        </w:rPr>
        <w:t>προμήθειας πρώτων υλών/εμπορευμάτων,</w:t>
      </w:r>
    </w:p>
    <w:p w:rsidR="004D7285" w:rsidRPr="004D7285" w:rsidRDefault="004D7285" w:rsidP="00700BFC">
      <w:pPr>
        <w:pStyle w:val="a3"/>
        <w:numPr>
          <w:ilvl w:val="0"/>
          <w:numId w:val="1"/>
        </w:numPr>
        <w:spacing w:after="0" w:line="360" w:lineRule="auto"/>
        <w:rPr>
          <w:sz w:val="24"/>
          <w:szCs w:val="24"/>
        </w:rPr>
      </w:pPr>
      <w:r>
        <w:rPr>
          <w:sz w:val="24"/>
          <w:szCs w:val="24"/>
        </w:rPr>
        <w:t>το 60,3</w:t>
      </w:r>
      <w:r w:rsidRPr="004D7285">
        <w:rPr>
          <w:sz w:val="24"/>
          <w:szCs w:val="24"/>
        </w:rPr>
        <w:t xml:space="preserve">% των μικρών και πολύ μικρών επιχειρήσεων κατέγραψε αύξηση στο κόστος </w:t>
      </w:r>
      <w:r>
        <w:rPr>
          <w:sz w:val="24"/>
          <w:szCs w:val="24"/>
        </w:rPr>
        <w:t>καυσίμων οχημάτων,</w:t>
      </w:r>
    </w:p>
    <w:p w:rsidR="004D7285" w:rsidRDefault="004D7285" w:rsidP="00700BFC">
      <w:pPr>
        <w:pStyle w:val="a3"/>
        <w:numPr>
          <w:ilvl w:val="0"/>
          <w:numId w:val="1"/>
        </w:numPr>
        <w:spacing w:after="0" w:line="360" w:lineRule="auto"/>
        <w:jc w:val="both"/>
        <w:rPr>
          <w:sz w:val="24"/>
          <w:szCs w:val="24"/>
        </w:rPr>
      </w:pPr>
      <w:r>
        <w:rPr>
          <w:sz w:val="24"/>
          <w:szCs w:val="24"/>
        </w:rPr>
        <w:t>το 19,7% των μικρών και πολύ μικρών επιχειρήσεων κατέγραψε αύξηση στο κόστος αγοράς εξοπλισμού και μηχανημάτων.</w:t>
      </w:r>
    </w:p>
    <w:p w:rsidR="008D636D" w:rsidRPr="00754D44" w:rsidRDefault="008D636D" w:rsidP="00700BFC">
      <w:pPr>
        <w:spacing w:after="0" w:line="360" w:lineRule="auto"/>
        <w:jc w:val="both"/>
        <w:rPr>
          <w:rFonts w:ascii="Calibri" w:hAnsi="Calibri" w:cs="Calibri"/>
          <w:sz w:val="24"/>
          <w:szCs w:val="24"/>
        </w:rPr>
      </w:pPr>
      <w:r w:rsidRPr="00754D44">
        <w:rPr>
          <w:rFonts w:ascii="Calibri" w:hAnsi="Calibri" w:cs="Calibri"/>
          <w:sz w:val="24"/>
          <w:szCs w:val="24"/>
        </w:rPr>
        <w:t xml:space="preserve">Από την ανάλυση των επιμέρους στοιχείων της έρευνας </w:t>
      </w:r>
      <w:r>
        <w:rPr>
          <w:rFonts w:ascii="Calibri" w:hAnsi="Calibri" w:cs="Calibri"/>
          <w:sz w:val="24"/>
          <w:szCs w:val="24"/>
        </w:rPr>
        <w:t>εκτιμήθηκε ότι το πρώτο εξάμηνο του 2022</w:t>
      </w:r>
      <w:r w:rsidRPr="00754D44">
        <w:rPr>
          <w:rFonts w:ascii="Calibri" w:hAnsi="Calibri" w:cs="Calibri"/>
          <w:sz w:val="24"/>
          <w:szCs w:val="24"/>
        </w:rPr>
        <w:t>:</w:t>
      </w:r>
    </w:p>
    <w:p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lastRenderedPageBreak/>
        <w:t xml:space="preserve">το κόστος ενέργειας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76</w:t>
      </w:r>
      <w:r w:rsidRPr="00754D44">
        <w:rPr>
          <w:rFonts w:ascii="Calibri" w:hAnsi="Calibri" w:cs="Calibri"/>
          <w:sz w:val="24"/>
          <w:szCs w:val="24"/>
        </w:rPr>
        <w:t>%,</w:t>
      </w:r>
    </w:p>
    <w:p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t xml:space="preserve">το κόστος προμήθειας πρώτων υλών και εμπορευμάτων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43,5</w:t>
      </w:r>
      <w:r w:rsidRPr="00754D44">
        <w:rPr>
          <w:rFonts w:ascii="Calibri" w:hAnsi="Calibri" w:cs="Calibri"/>
          <w:sz w:val="24"/>
          <w:szCs w:val="24"/>
        </w:rPr>
        <w:t>%,</w:t>
      </w:r>
    </w:p>
    <w:p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t xml:space="preserve">το κόστος καυσίμων οχημάτων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57,8</w:t>
      </w:r>
      <w:r w:rsidRPr="00754D44">
        <w:rPr>
          <w:rFonts w:ascii="Calibri" w:hAnsi="Calibri" w:cs="Calibri"/>
          <w:sz w:val="24"/>
          <w:szCs w:val="24"/>
        </w:rPr>
        <w:t>%, και τέλος</w:t>
      </w:r>
    </w:p>
    <w:p w:rsidR="008D636D" w:rsidRPr="00754D44" w:rsidRDefault="008D636D" w:rsidP="00700BFC">
      <w:pPr>
        <w:numPr>
          <w:ilvl w:val="0"/>
          <w:numId w:val="2"/>
        </w:numPr>
        <w:spacing w:after="0" w:line="360" w:lineRule="auto"/>
        <w:contextualSpacing/>
        <w:jc w:val="both"/>
        <w:rPr>
          <w:rFonts w:ascii="Calibri" w:hAnsi="Calibri" w:cs="Calibri"/>
          <w:sz w:val="24"/>
          <w:szCs w:val="24"/>
        </w:rPr>
      </w:pPr>
      <w:r w:rsidRPr="00754D44">
        <w:rPr>
          <w:rFonts w:ascii="Calibri" w:hAnsi="Calibri" w:cs="Calibri"/>
          <w:sz w:val="24"/>
          <w:szCs w:val="24"/>
        </w:rPr>
        <w:t xml:space="preserve">το κόστος προμήθειας εξοπλισμού και μηχανημάτων αυξήθηκε </w:t>
      </w:r>
      <w:proofErr w:type="spellStart"/>
      <w:r w:rsidRPr="00754D44">
        <w:rPr>
          <w:rFonts w:ascii="Calibri" w:hAnsi="Calibri" w:cs="Calibri"/>
          <w:sz w:val="24"/>
          <w:szCs w:val="24"/>
        </w:rPr>
        <w:t>μεσοσταθμικά</w:t>
      </w:r>
      <w:proofErr w:type="spellEnd"/>
      <w:r w:rsidRPr="00754D44">
        <w:rPr>
          <w:rFonts w:ascii="Calibri" w:hAnsi="Calibri" w:cs="Calibri"/>
          <w:sz w:val="24"/>
          <w:szCs w:val="24"/>
        </w:rPr>
        <w:t xml:space="preserve"> κατά </w:t>
      </w:r>
      <w:r>
        <w:rPr>
          <w:rFonts w:ascii="Calibri" w:hAnsi="Calibri" w:cs="Calibri"/>
          <w:sz w:val="24"/>
          <w:szCs w:val="24"/>
        </w:rPr>
        <w:t>26,2</w:t>
      </w:r>
      <w:r w:rsidRPr="00754D44">
        <w:rPr>
          <w:rFonts w:ascii="Calibri" w:hAnsi="Calibri" w:cs="Calibri"/>
          <w:sz w:val="24"/>
          <w:szCs w:val="24"/>
        </w:rPr>
        <w:t>%.</w:t>
      </w:r>
    </w:p>
    <w:p w:rsidR="008D636D" w:rsidRPr="008D636D" w:rsidRDefault="003653AC" w:rsidP="00700BFC">
      <w:pPr>
        <w:spacing w:after="0" w:line="360" w:lineRule="auto"/>
        <w:jc w:val="both"/>
        <w:rPr>
          <w:sz w:val="24"/>
          <w:szCs w:val="24"/>
        </w:rPr>
      </w:pPr>
      <w:r>
        <w:rPr>
          <w:sz w:val="24"/>
          <w:szCs w:val="24"/>
        </w:rPr>
        <w:t>Στα Γ</w:t>
      </w:r>
      <w:r w:rsidR="008D636D">
        <w:rPr>
          <w:sz w:val="24"/>
          <w:szCs w:val="24"/>
        </w:rPr>
        <w:t>ραφήματα 17,18,19 και 20 αποτυπώνεται αναλυτικότερα η ποσοστιαία αύξηση που καταγράψαν το πρώτο εξάμηνου του 2022 οι μικρές και πολύ μικρές επιχειρήσεις ανά επιμέρους λειτουργικό κόστος.</w:t>
      </w:r>
    </w:p>
    <w:p w:rsidR="00754D44" w:rsidRPr="00754D44" w:rsidRDefault="00754D44" w:rsidP="00700BFC">
      <w:pPr>
        <w:spacing w:after="0" w:line="360" w:lineRule="auto"/>
        <w:jc w:val="both"/>
        <w:rPr>
          <w:rFonts w:ascii="Calibri" w:hAnsi="Calibri" w:cs="Calibri"/>
          <w:sz w:val="24"/>
          <w:szCs w:val="24"/>
        </w:rPr>
      </w:pPr>
    </w:p>
    <w:p w:rsidR="00F438CB" w:rsidRDefault="007E0289" w:rsidP="00700BFC">
      <w:pPr>
        <w:spacing w:after="0" w:line="360" w:lineRule="auto"/>
        <w:jc w:val="both"/>
        <w:rPr>
          <w:b/>
          <w:sz w:val="24"/>
          <w:szCs w:val="24"/>
          <w:u w:val="single"/>
        </w:rPr>
      </w:pPr>
      <w:r>
        <w:rPr>
          <w:noProof/>
        </w:rPr>
        <w:drawing>
          <wp:inline distT="0" distB="0" distL="0" distR="0" wp14:anchorId="473E0E6A" wp14:editId="32BBD712">
            <wp:extent cx="6553200" cy="2809875"/>
            <wp:effectExtent l="0" t="0" r="19050" b="9525"/>
            <wp:docPr id="48" name="Γράφημα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38CB" w:rsidRPr="001B2706" w:rsidRDefault="00F438CB" w:rsidP="00700BFC">
      <w:pPr>
        <w:spacing w:after="0" w:line="360" w:lineRule="auto"/>
        <w:jc w:val="both"/>
        <w:rPr>
          <w:b/>
          <w:sz w:val="24"/>
          <w:szCs w:val="24"/>
          <w:u w:val="single"/>
          <w:lang w:val="en-US"/>
        </w:rPr>
      </w:pPr>
    </w:p>
    <w:p w:rsidR="00F438CB" w:rsidRDefault="007E0289" w:rsidP="00700BFC">
      <w:pPr>
        <w:spacing w:after="0" w:line="360" w:lineRule="auto"/>
        <w:jc w:val="both"/>
        <w:rPr>
          <w:b/>
          <w:sz w:val="24"/>
          <w:szCs w:val="24"/>
          <w:u w:val="single"/>
        </w:rPr>
      </w:pPr>
      <w:r>
        <w:rPr>
          <w:noProof/>
        </w:rPr>
        <w:drawing>
          <wp:inline distT="0" distB="0" distL="0" distR="0" wp14:anchorId="6B3689DB" wp14:editId="265378DE">
            <wp:extent cx="6507480" cy="3137535"/>
            <wp:effectExtent l="0" t="0" r="26670" b="24765"/>
            <wp:docPr id="49" name="Γράφημα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38CB" w:rsidRPr="001B2706" w:rsidRDefault="00F438CB" w:rsidP="00700BFC">
      <w:pPr>
        <w:spacing w:after="0" w:line="360" w:lineRule="auto"/>
        <w:jc w:val="both"/>
        <w:rPr>
          <w:b/>
          <w:sz w:val="24"/>
          <w:szCs w:val="24"/>
          <w:u w:val="single"/>
          <w:lang w:val="en-US"/>
        </w:rPr>
      </w:pPr>
    </w:p>
    <w:p w:rsidR="00F438CB" w:rsidRPr="001B2706" w:rsidRDefault="007E0289" w:rsidP="00700BFC">
      <w:pPr>
        <w:spacing w:after="0" w:line="360" w:lineRule="auto"/>
        <w:jc w:val="both"/>
        <w:rPr>
          <w:b/>
          <w:sz w:val="24"/>
          <w:szCs w:val="24"/>
          <w:u w:val="single"/>
          <w:lang w:val="en-US"/>
        </w:rPr>
      </w:pPr>
      <w:r>
        <w:rPr>
          <w:noProof/>
        </w:rPr>
        <w:lastRenderedPageBreak/>
        <w:drawing>
          <wp:inline distT="0" distB="0" distL="0" distR="0" wp14:anchorId="6B509C1C" wp14:editId="0E81D89C">
            <wp:extent cx="6648450" cy="3133725"/>
            <wp:effectExtent l="0" t="0" r="19050" b="9525"/>
            <wp:docPr id="50" name="Γράφημα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38CB" w:rsidRDefault="007E0289" w:rsidP="00700BFC">
      <w:pPr>
        <w:spacing w:after="0" w:line="360" w:lineRule="auto"/>
        <w:jc w:val="both"/>
        <w:rPr>
          <w:b/>
          <w:sz w:val="24"/>
          <w:szCs w:val="24"/>
          <w:u w:val="single"/>
        </w:rPr>
      </w:pPr>
      <w:r>
        <w:rPr>
          <w:noProof/>
        </w:rPr>
        <w:drawing>
          <wp:inline distT="0" distB="0" distL="0" distR="0" wp14:anchorId="265F8482" wp14:editId="396B2CAB">
            <wp:extent cx="6734175" cy="3133725"/>
            <wp:effectExtent l="0" t="0" r="9525" b="9525"/>
            <wp:docPr id="51" name="Γράφημα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2706" w:rsidRDefault="001B2706" w:rsidP="00700BFC">
      <w:pPr>
        <w:spacing w:after="0" w:line="360" w:lineRule="auto"/>
        <w:jc w:val="both"/>
        <w:rPr>
          <w:b/>
          <w:sz w:val="24"/>
          <w:szCs w:val="24"/>
          <w:u w:val="single"/>
          <w:lang w:val="en-US"/>
        </w:rPr>
      </w:pPr>
    </w:p>
    <w:p w:rsidR="008D636D" w:rsidRDefault="008D636D" w:rsidP="00700BFC">
      <w:pPr>
        <w:spacing w:after="0" w:line="360" w:lineRule="auto"/>
        <w:jc w:val="both"/>
        <w:rPr>
          <w:rFonts w:ascii="Calibri" w:hAnsi="Calibri" w:cs="Calibri"/>
          <w:sz w:val="24"/>
          <w:szCs w:val="24"/>
        </w:rPr>
      </w:pPr>
      <w:r>
        <w:rPr>
          <w:rFonts w:ascii="Calibri" w:hAnsi="Calibri" w:cs="Calibri"/>
          <w:sz w:val="24"/>
          <w:szCs w:val="24"/>
        </w:rPr>
        <w:t xml:space="preserve">Όσον αφορά την αξιολόγηση των μέτρων που έλαβε η κυβέρνηση </w:t>
      </w:r>
      <w:r w:rsidR="00122982">
        <w:rPr>
          <w:rFonts w:ascii="Calibri" w:hAnsi="Calibri" w:cs="Calibri"/>
          <w:sz w:val="24"/>
          <w:szCs w:val="24"/>
        </w:rPr>
        <w:t xml:space="preserve">το πρώτο εξάμηνο του 2022 για τη αντιμετώπιση της ακρίβειας η συντριπτική πλειονότητα των μικρών και πολύ μικρών επιχειρήσεων (59,3%) θεωρεί ότι δεν προσέφεραν σχεδόν καμία βοήθεια, το 31,3%  τα αξιολόγησε ως αναγκαία αλλά απαιτούνται περισσότερα, ενώ μόλις το 7,4% αξιολόγησε τα μέτρα ως μια σημαντική βοήθεια (Γράφημα 21). </w:t>
      </w:r>
    </w:p>
    <w:p w:rsidR="00F438CB" w:rsidRDefault="00F438CB" w:rsidP="00700BFC">
      <w:pPr>
        <w:spacing w:after="0" w:line="360" w:lineRule="auto"/>
        <w:jc w:val="both"/>
        <w:rPr>
          <w:b/>
          <w:sz w:val="24"/>
          <w:szCs w:val="24"/>
          <w:u w:val="single"/>
        </w:rPr>
      </w:pPr>
    </w:p>
    <w:p w:rsidR="00F438CB" w:rsidRDefault="0003191B" w:rsidP="00700BFC">
      <w:pPr>
        <w:spacing w:after="0" w:line="360" w:lineRule="auto"/>
        <w:jc w:val="both"/>
        <w:rPr>
          <w:b/>
          <w:sz w:val="24"/>
          <w:szCs w:val="24"/>
          <w:u w:val="single"/>
        </w:rPr>
      </w:pPr>
      <w:r>
        <w:rPr>
          <w:noProof/>
        </w:rPr>
        <w:lastRenderedPageBreak/>
        <w:drawing>
          <wp:inline distT="0" distB="0" distL="0" distR="0" wp14:anchorId="5F9D73DC" wp14:editId="3672B3A9">
            <wp:extent cx="6496050" cy="1809750"/>
            <wp:effectExtent l="0" t="0" r="19050" b="19050"/>
            <wp:docPr id="52" name="Γράφημα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38CB" w:rsidRPr="001B2706" w:rsidRDefault="00122982" w:rsidP="00700BFC">
      <w:pPr>
        <w:spacing w:after="0" w:line="360" w:lineRule="auto"/>
        <w:jc w:val="both"/>
        <w:rPr>
          <w:rFonts w:ascii="Calibri" w:hAnsi="Calibri" w:cs="Calibri"/>
          <w:sz w:val="24"/>
          <w:szCs w:val="24"/>
        </w:rPr>
      </w:pPr>
      <w:r w:rsidRPr="008D636D">
        <w:rPr>
          <w:rFonts w:ascii="Calibri" w:hAnsi="Calibri" w:cs="Calibri"/>
          <w:sz w:val="24"/>
          <w:szCs w:val="24"/>
        </w:rPr>
        <w:t>Όσον αφορά τα μέτρα που θεωρούν οι μικρές και πολύ μικρές επιχειρήσεις ως τα πλέον κατάλληλα για την αντιμετώπιση των συνεπειών της αύξησης των τιμώ</w:t>
      </w:r>
      <w:r w:rsidR="008914DB">
        <w:rPr>
          <w:rFonts w:ascii="Calibri" w:hAnsi="Calibri" w:cs="Calibri"/>
          <w:sz w:val="24"/>
          <w:szCs w:val="24"/>
        </w:rPr>
        <w:t xml:space="preserve">ν, από τα ευρήματα της έρευνας </w:t>
      </w:r>
      <w:r>
        <w:rPr>
          <w:rFonts w:ascii="Calibri" w:hAnsi="Calibri" w:cs="Calibri"/>
          <w:sz w:val="24"/>
          <w:szCs w:val="24"/>
        </w:rPr>
        <w:t xml:space="preserve">προέκυψε ότι τα δύο πιο σημαντικά μέτρα για το μεγαλύτερο μέρος των επιχειρήσεων θεωρούνται η μείωση του ΦΠΑ και η μείωση των ειδικών φόρων στα καύσιμα και στην ενέργεια (Γράφημα 22). </w:t>
      </w:r>
    </w:p>
    <w:p w:rsidR="00F438CB" w:rsidRPr="001B2706" w:rsidRDefault="0003191B" w:rsidP="00700BFC">
      <w:pPr>
        <w:spacing w:after="0" w:line="360" w:lineRule="auto"/>
        <w:jc w:val="both"/>
        <w:rPr>
          <w:b/>
          <w:sz w:val="24"/>
          <w:szCs w:val="24"/>
          <w:u w:val="single"/>
          <w:lang w:val="en-US"/>
        </w:rPr>
      </w:pPr>
      <w:r>
        <w:rPr>
          <w:noProof/>
        </w:rPr>
        <w:drawing>
          <wp:inline distT="0" distB="0" distL="0" distR="0" wp14:anchorId="69633415" wp14:editId="1DD1F3BB">
            <wp:extent cx="6657975" cy="2695575"/>
            <wp:effectExtent l="0" t="0" r="9525" b="9525"/>
            <wp:docPr id="53" name="Γράφημα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438CB" w:rsidRDefault="0003191B" w:rsidP="00700BFC">
      <w:pPr>
        <w:spacing w:after="0" w:line="360" w:lineRule="auto"/>
        <w:jc w:val="both"/>
        <w:rPr>
          <w:b/>
          <w:sz w:val="24"/>
          <w:szCs w:val="24"/>
          <w:u w:val="single"/>
        </w:rPr>
      </w:pPr>
      <w:r>
        <w:rPr>
          <w:noProof/>
        </w:rPr>
        <w:drawing>
          <wp:inline distT="0" distB="0" distL="0" distR="0" wp14:anchorId="1A800834" wp14:editId="3CC7805E">
            <wp:extent cx="6657975" cy="2628900"/>
            <wp:effectExtent l="0" t="0" r="9525" b="19050"/>
            <wp:docPr id="54" name="Γράφημα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38CB" w:rsidRDefault="00F438CB" w:rsidP="00700BFC">
      <w:pPr>
        <w:spacing w:after="0" w:line="360" w:lineRule="auto"/>
        <w:jc w:val="both"/>
        <w:rPr>
          <w:b/>
          <w:sz w:val="24"/>
          <w:szCs w:val="24"/>
          <w:u w:val="single"/>
        </w:rPr>
      </w:pPr>
    </w:p>
    <w:p w:rsidR="00CC423E" w:rsidRPr="0071365A" w:rsidRDefault="00CC423E" w:rsidP="00700BFC">
      <w:pPr>
        <w:numPr>
          <w:ilvl w:val="0"/>
          <w:numId w:val="5"/>
        </w:numPr>
        <w:spacing w:after="0" w:line="360" w:lineRule="auto"/>
        <w:contextualSpacing/>
        <w:jc w:val="both"/>
        <w:rPr>
          <w:rFonts w:cstheme="minorHAnsi"/>
          <w:u w:val="single"/>
        </w:rPr>
      </w:pPr>
      <w:r w:rsidRPr="0071365A">
        <w:rPr>
          <w:rFonts w:eastAsia="Times New Roman" w:cstheme="minorHAnsi"/>
          <w:b/>
          <w:color w:val="222222"/>
          <w:sz w:val="24"/>
          <w:szCs w:val="24"/>
          <w:u w:val="single"/>
        </w:rPr>
        <w:lastRenderedPageBreak/>
        <w:t xml:space="preserve">Υποχρεώσεις - οφειλές </w:t>
      </w:r>
    </w:p>
    <w:p w:rsidR="00CC423E" w:rsidRDefault="00CC423E" w:rsidP="00700BFC">
      <w:pPr>
        <w:spacing w:after="0" w:line="360" w:lineRule="auto"/>
        <w:jc w:val="both"/>
        <w:rPr>
          <w:rFonts w:eastAsia="Times New Roman" w:cstheme="minorHAnsi"/>
          <w:sz w:val="24"/>
          <w:szCs w:val="24"/>
        </w:rPr>
      </w:pPr>
      <w:r w:rsidRPr="00F22BD4">
        <w:rPr>
          <w:rFonts w:eastAsia="Times New Roman" w:cstheme="minorHAnsi"/>
          <w:sz w:val="24"/>
          <w:szCs w:val="24"/>
        </w:rPr>
        <w:t xml:space="preserve">Αποκλιμάκωση παρουσιάζουν οι ληξιπρόθεσμες οφειλές των μικρών και πολύ μικρών επιχειρήσεων </w:t>
      </w:r>
      <w:r>
        <w:rPr>
          <w:rFonts w:eastAsia="Times New Roman" w:cstheme="minorHAnsi"/>
          <w:sz w:val="24"/>
          <w:szCs w:val="24"/>
        </w:rPr>
        <w:t>επιστρέφοντας</w:t>
      </w:r>
      <w:r w:rsidRPr="00F22BD4">
        <w:rPr>
          <w:rFonts w:eastAsia="Times New Roman" w:cstheme="minorHAnsi"/>
          <w:sz w:val="24"/>
          <w:szCs w:val="24"/>
        </w:rPr>
        <w:t xml:space="preserve"> </w:t>
      </w:r>
      <w:r>
        <w:rPr>
          <w:rFonts w:eastAsia="Times New Roman" w:cstheme="minorHAnsi"/>
          <w:sz w:val="24"/>
          <w:szCs w:val="24"/>
        </w:rPr>
        <w:t>σ</w:t>
      </w:r>
      <w:r w:rsidRPr="00F22BD4">
        <w:rPr>
          <w:rFonts w:eastAsia="Times New Roman" w:cstheme="minorHAnsi"/>
          <w:sz w:val="24"/>
          <w:szCs w:val="24"/>
        </w:rPr>
        <w:t xml:space="preserve">τα προ πανδημίας επίπεδα.  </w:t>
      </w:r>
      <w:r>
        <w:rPr>
          <w:rFonts w:eastAsia="Times New Roman" w:cstheme="minorHAnsi"/>
          <w:sz w:val="24"/>
          <w:szCs w:val="24"/>
        </w:rPr>
        <w:t>Φαίνεται ότι το πλήρες άνοιγμα</w:t>
      </w:r>
      <w:r w:rsidRPr="00F22BD4">
        <w:rPr>
          <w:rFonts w:eastAsia="Times New Roman" w:cstheme="minorHAnsi"/>
          <w:sz w:val="24"/>
          <w:szCs w:val="24"/>
        </w:rPr>
        <w:t xml:space="preserve"> της οικονομίας, </w:t>
      </w:r>
      <w:r>
        <w:rPr>
          <w:rFonts w:eastAsia="Times New Roman" w:cstheme="minorHAnsi"/>
          <w:sz w:val="24"/>
          <w:szCs w:val="24"/>
        </w:rPr>
        <w:t>η καλή τουριστική περίοδο</w:t>
      </w:r>
      <w:r w:rsidRPr="00F22BD4">
        <w:rPr>
          <w:rFonts w:eastAsia="Times New Roman" w:cstheme="minorHAnsi"/>
          <w:sz w:val="24"/>
          <w:szCs w:val="24"/>
        </w:rPr>
        <w:t xml:space="preserve"> και τ</w:t>
      </w:r>
      <w:r>
        <w:rPr>
          <w:rFonts w:eastAsia="Times New Roman" w:cstheme="minorHAnsi"/>
          <w:sz w:val="24"/>
          <w:szCs w:val="24"/>
        </w:rPr>
        <w:t>α μέτρα</w:t>
      </w:r>
      <w:r w:rsidRPr="00F22BD4">
        <w:rPr>
          <w:rFonts w:eastAsia="Times New Roman" w:cstheme="minorHAnsi"/>
          <w:sz w:val="24"/>
          <w:szCs w:val="24"/>
        </w:rPr>
        <w:t xml:space="preserve"> που έχ</w:t>
      </w:r>
      <w:r>
        <w:rPr>
          <w:rFonts w:eastAsia="Times New Roman" w:cstheme="minorHAnsi"/>
          <w:sz w:val="24"/>
          <w:szCs w:val="24"/>
        </w:rPr>
        <w:t>ει</w:t>
      </w:r>
      <w:r w:rsidRPr="00F22BD4">
        <w:rPr>
          <w:rFonts w:eastAsia="Times New Roman" w:cstheme="minorHAnsi"/>
          <w:sz w:val="24"/>
          <w:szCs w:val="24"/>
        </w:rPr>
        <w:t xml:space="preserve"> </w:t>
      </w:r>
      <w:r>
        <w:rPr>
          <w:rFonts w:eastAsia="Times New Roman" w:cstheme="minorHAnsi"/>
          <w:sz w:val="24"/>
          <w:szCs w:val="24"/>
        </w:rPr>
        <w:t xml:space="preserve">λάβει η κυβέρνηση για τη στήριξη της οικονομίας και ειδικότερα για τη διαχείριση του ιδιωτικού χρέους (π.χ. ρυθμίσεις οφειλών), έδωσαν τη δυνατότητα σε ένα σημαντικό αριθμό επιχειρήσεων να ανταποκριθεί στις υποχρεώσεις του. </w:t>
      </w:r>
    </w:p>
    <w:p w:rsidR="00CC423E" w:rsidRDefault="00CC423E" w:rsidP="00700BFC">
      <w:pPr>
        <w:spacing w:after="0" w:line="360" w:lineRule="auto"/>
        <w:jc w:val="both"/>
        <w:rPr>
          <w:rFonts w:eastAsia="Times New Roman" w:cstheme="minorHAnsi"/>
          <w:sz w:val="24"/>
          <w:szCs w:val="24"/>
        </w:rPr>
      </w:pPr>
      <w:r>
        <w:rPr>
          <w:rFonts w:eastAsia="Times New Roman" w:cstheme="minorHAnsi"/>
          <w:sz w:val="24"/>
          <w:szCs w:val="24"/>
        </w:rPr>
        <w:t>Ωστόσο, τα ποσοστά των επιχειρήσεων που αντιμετωπίζουν προβλήματα στην καταβολή των υποχρεώσεων τους παραμένουν ιδιαίτερα υψηλά.</w:t>
      </w:r>
    </w:p>
    <w:p w:rsidR="00CC423E" w:rsidRDefault="00CC423E" w:rsidP="00700BFC">
      <w:pPr>
        <w:spacing w:after="0" w:line="360" w:lineRule="auto"/>
        <w:jc w:val="both"/>
        <w:rPr>
          <w:rFonts w:eastAsia="Times New Roman" w:cstheme="minorHAnsi"/>
          <w:sz w:val="24"/>
          <w:szCs w:val="24"/>
        </w:rPr>
      </w:pPr>
      <w:r>
        <w:rPr>
          <w:rFonts w:eastAsia="Times New Roman" w:cstheme="minorHAnsi"/>
          <w:sz w:val="24"/>
          <w:szCs w:val="24"/>
        </w:rPr>
        <w:t>Όπως προκύπτει από τα ευρήματα της έρευνας, το 38,2% των μικρών και πολύ μικρών επιχει</w:t>
      </w:r>
      <w:r w:rsidR="008914DB">
        <w:rPr>
          <w:rFonts w:eastAsia="Times New Roman" w:cstheme="minorHAnsi"/>
          <w:sz w:val="24"/>
          <w:szCs w:val="24"/>
        </w:rPr>
        <w:t>ρήσεων έχει</w:t>
      </w:r>
      <w:r>
        <w:rPr>
          <w:rFonts w:eastAsia="Times New Roman" w:cstheme="minorHAnsi"/>
          <w:sz w:val="24"/>
          <w:szCs w:val="24"/>
        </w:rPr>
        <w:t xml:space="preserve"> τουλάχιστον 1 ληξιπρόθεσμη οφει</w:t>
      </w:r>
      <w:r w:rsidR="008914DB">
        <w:rPr>
          <w:rFonts w:eastAsia="Times New Roman" w:cstheme="minorHAnsi"/>
          <w:sz w:val="24"/>
          <w:szCs w:val="24"/>
        </w:rPr>
        <w:t>λή, ποσοστό χαμηλότερο σε σχέση</w:t>
      </w:r>
      <w:r>
        <w:rPr>
          <w:rFonts w:eastAsia="Times New Roman" w:cstheme="minorHAnsi"/>
          <w:sz w:val="24"/>
          <w:szCs w:val="24"/>
        </w:rPr>
        <w:t xml:space="preserve"> όχι μόνο με τις προηγούμενες έρευνες που έγιναν κατά τη διάρκεια της υγειονομικής κρίσης, αλλά και σε σύγκριση με τα προ πανδημίας στοιχεία (38,7% τον Φεβρουάριο του 2020).</w:t>
      </w:r>
    </w:p>
    <w:p w:rsidR="00CC423E" w:rsidRPr="001B2706" w:rsidRDefault="00CC423E" w:rsidP="00700BFC">
      <w:pPr>
        <w:spacing w:after="0" w:line="360" w:lineRule="auto"/>
        <w:jc w:val="both"/>
        <w:rPr>
          <w:rFonts w:eastAsia="Times New Roman" w:cstheme="minorHAnsi"/>
          <w:sz w:val="24"/>
          <w:szCs w:val="24"/>
        </w:rPr>
      </w:pPr>
      <w:r>
        <w:rPr>
          <w:rFonts w:eastAsia="Times New Roman" w:cstheme="minorHAnsi"/>
          <w:sz w:val="24"/>
          <w:szCs w:val="24"/>
        </w:rPr>
        <w:t xml:space="preserve">Περαιτέρω, σημαντική μείωση καταγράφεται και στα ποσοστά των επιχειρήσεων με πολλαπλές ληξιπρόθεσμες οφειλές. Όπως φαίνεται στο Γράφημα </w:t>
      </w:r>
      <w:r w:rsidR="003401D3">
        <w:rPr>
          <w:rFonts w:eastAsia="Times New Roman" w:cstheme="minorHAnsi"/>
          <w:sz w:val="24"/>
          <w:szCs w:val="24"/>
        </w:rPr>
        <w:t>24</w:t>
      </w:r>
      <w:r>
        <w:rPr>
          <w:rFonts w:eastAsia="Times New Roman" w:cstheme="minorHAnsi"/>
          <w:sz w:val="24"/>
          <w:szCs w:val="24"/>
        </w:rPr>
        <w:t xml:space="preserve"> οι μικρές και πολύ μικρές επιχειρήσεις με 3 ή και περισσότερες ληξιπρόθεσμες οφειλές υποχωρούν στο 16,7% έναντι 24,2% που ήτα</w:t>
      </w:r>
      <w:r w:rsidR="003812C9">
        <w:rPr>
          <w:rFonts w:eastAsia="Times New Roman" w:cstheme="minorHAnsi"/>
          <w:sz w:val="24"/>
          <w:szCs w:val="24"/>
        </w:rPr>
        <w:t>ν το προηγούμενο εξάμηνο. Ελαφρώς</w:t>
      </w:r>
      <w:r>
        <w:rPr>
          <w:rFonts w:eastAsia="Times New Roman" w:cstheme="minorHAnsi"/>
          <w:sz w:val="24"/>
          <w:szCs w:val="24"/>
        </w:rPr>
        <w:t xml:space="preserve"> βελτιωμένα είναι και τα ποσοστά των επιχειρήσεων σε σχέση με το προηγούμενο εξάμηνο όσον αφορά τις επιχειρήσεις που έχουν 1 ληξιπρόθεσμη οφειλή (12,2% το πρώτο εξάμηνο του 2022, έναντι </w:t>
      </w:r>
      <w:r w:rsidR="008914DB">
        <w:rPr>
          <w:rFonts w:eastAsia="Times New Roman" w:cstheme="minorHAnsi"/>
          <w:sz w:val="24"/>
          <w:szCs w:val="24"/>
        </w:rPr>
        <w:t>13,</w:t>
      </w:r>
      <w:r w:rsidRPr="00676D0F">
        <w:rPr>
          <w:rFonts w:eastAsia="Times New Roman" w:cstheme="minorHAnsi"/>
          <w:sz w:val="24"/>
          <w:szCs w:val="24"/>
        </w:rPr>
        <w:t>2</w:t>
      </w:r>
      <w:r>
        <w:rPr>
          <w:rFonts w:eastAsia="Times New Roman" w:cstheme="minorHAnsi"/>
          <w:sz w:val="24"/>
          <w:szCs w:val="24"/>
        </w:rPr>
        <w:t>% που είχε καταγραφεί το δεύτερο εξάμηνο του 2021)</w:t>
      </w:r>
      <w:r w:rsidRPr="00676D0F">
        <w:rPr>
          <w:rFonts w:eastAsia="Times New Roman" w:cstheme="minorHAnsi"/>
          <w:sz w:val="24"/>
          <w:szCs w:val="24"/>
        </w:rPr>
        <w:t xml:space="preserve"> </w:t>
      </w:r>
      <w:r>
        <w:rPr>
          <w:rFonts w:eastAsia="Times New Roman" w:cstheme="minorHAnsi"/>
          <w:sz w:val="24"/>
          <w:szCs w:val="24"/>
        </w:rPr>
        <w:t xml:space="preserve">και τις επιχειρήσεις με 2 ληξιπρόθεσμες οφειλές (9,2% </w:t>
      </w:r>
      <w:r w:rsidRPr="00676D0F">
        <w:rPr>
          <w:rFonts w:eastAsia="Times New Roman" w:cstheme="minorHAnsi"/>
          <w:sz w:val="24"/>
          <w:szCs w:val="24"/>
        </w:rPr>
        <w:t xml:space="preserve">το πρώτο εξάμηνο του 2022, έναντι </w:t>
      </w:r>
      <w:r>
        <w:rPr>
          <w:rFonts w:eastAsia="Times New Roman" w:cstheme="minorHAnsi"/>
          <w:sz w:val="24"/>
          <w:szCs w:val="24"/>
        </w:rPr>
        <w:t>9,9</w:t>
      </w:r>
      <w:r w:rsidRPr="00676D0F">
        <w:rPr>
          <w:rFonts w:eastAsia="Times New Roman" w:cstheme="minorHAnsi"/>
          <w:sz w:val="24"/>
          <w:szCs w:val="24"/>
        </w:rPr>
        <w:t>% που είχε καταγραφεί το δεύτερο εξάμηνο του 2021</w:t>
      </w:r>
      <w:r>
        <w:rPr>
          <w:rFonts w:eastAsia="Times New Roman" w:cstheme="minorHAnsi"/>
          <w:sz w:val="24"/>
          <w:szCs w:val="24"/>
        </w:rPr>
        <w:t>).</w:t>
      </w:r>
    </w:p>
    <w:p w:rsidR="00CC423E" w:rsidRPr="0037309D" w:rsidRDefault="0003191B" w:rsidP="00700BFC">
      <w:pPr>
        <w:spacing w:after="0" w:line="360" w:lineRule="auto"/>
        <w:jc w:val="both"/>
        <w:rPr>
          <w:rFonts w:eastAsia="Times New Roman" w:cstheme="minorHAnsi"/>
          <w:sz w:val="24"/>
          <w:szCs w:val="24"/>
        </w:rPr>
      </w:pPr>
      <w:r>
        <w:rPr>
          <w:noProof/>
        </w:rPr>
        <w:drawing>
          <wp:inline distT="0" distB="0" distL="0" distR="0" wp14:anchorId="4C9468F2" wp14:editId="748ADABC">
            <wp:extent cx="6600825" cy="2819400"/>
            <wp:effectExtent l="0" t="0" r="9525" b="19050"/>
            <wp:docPr id="55" name="Γράφημα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423E" w:rsidRDefault="00CC423E" w:rsidP="00700BFC">
      <w:pPr>
        <w:spacing w:after="0" w:line="360" w:lineRule="auto"/>
        <w:jc w:val="both"/>
        <w:rPr>
          <w:rFonts w:eastAsia="Times New Roman" w:cstheme="minorHAnsi"/>
          <w:sz w:val="24"/>
          <w:szCs w:val="24"/>
        </w:rPr>
      </w:pPr>
    </w:p>
    <w:p w:rsidR="00CC423E" w:rsidRPr="0037309D" w:rsidRDefault="00CC423E" w:rsidP="00700BFC">
      <w:pPr>
        <w:spacing w:after="0" w:line="360" w:lineRule="auto"/>
        <w:jc w:val="both"/>
        <w:rPr>
          <w:rFonts w:eastAsia="Times New Roman" w:cstheme="minorHAnsi"/>
          <w:sz w:val="24"/>
          <w:szCs w:val="24"/>
        </w:rPr>
      </w:pPr>
      <w:r>
        <w:rPr>
          <w:rFonts w:eastAsia="Times New Roman" w:cstheme="minorHAnsi"/>
          <w:sz w:val="24"/>
          <w:szCs w:val="24"/>
        </w:rPr>
        <w:lastRenderedPageBreak/>
        <w:t xml:space="preserve">Ωστόσο, όπως φαίνεται </w:t>
      </w:r>
      <w:r w:rsidRPr="00AC6997">
        <w:rPr>
          <w:rFonts w:eastAsia="Times New Roman" w:cstheme="minorHAnsi"/>
          <w:sz w:val="24"/>
          <w:szCs w:val="24"/>
        </w:rPr>
        <w:t xml:space="preserve">στον Πίνακα </w:t>
      </w:r>
      <w:r w:rsidR="00AC6997" w:rsidRPr="00AC6997">
        <w:rPr>
          <w:rFonts w:eastAsia="Times New Roman" w:cstheme="minorHAnsi"/>
          <w:sz w:val="24"/>
          <w:szCs w:val="24"/>
        </w:rPr>
        <w:t>9</w:t>
      </w:r>
      <w:r>
        <w:rPr>
          <w:rFonts w:eastAsia="Times New Roman" w:cstheme="minorHAnsi"/>
          <w:sz w:val="24"/>
          <w:szCs w:val="24"/>
        </w:rPr>
        <w:t xml:space="preserve"> ο βαθμός υπερχρέωσης των μικρών και πολύ μικρών επιχειρήσεων δεν είναι ίδιος. Διαφοροποιείται ανάλογα με τον κλάδο και το μέγεθος των επιχειρήσεων. Οι επιχειρήσεις εστίασης φαίνεται πως με διαφορά αντιμετωπίζουν το μεγαλύτερο πρόβλημα υπερχρέωσης καθώς το 28,8% αυτών έχει τρεις ή και περισσότερες ληξιπρόθεσμες οφειλές. Ακολουθούν οι επιχειρήσεις χωρίς προσωπικό (23,4%) και οι επιχειρήσεις με ετήσιο κύκλο εργασιών έως 50.000 € (22,4%).</w:t>
      </w:r>
    </w:p>
    <w:tbl>
      <w:tblPr>
        <w:tblW w:w="5000" w:type="pct"/>
        <w:tblLook w:val="04A0" w:firstRow="1" w:lastRow="0" w:firstColumn="1" w:lastColumn="0" w:noHBand="0" w:noVBand="1"/>
      </w:tblPr>
      <w:tblGrid>
        <w:gridCol w:w="2952"/>
        <w:gridCol w:w="907"/>
        <w:gridCol w:w="995"/>
        <w:gridCol w:w="838"/>
        <w:gridCol w:w="803"/>
        <w:gridCol w:w="803"/>
        <w:gridCol w:w="803"/>
        <w:gridCol w:w="813"/>
        <w:gridCol w:w="805"/>
        <w:gridCol w:w="986"/>
      </w:tblGrid>
      <w:tr w:rsidR="00CC423E" w:rsidRPr="0037309D" w:rsidTr="005A25E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CC423E" w:rsidRPr="0037309D" w:rsidRDefault="00CC423E" w:rsidP="00700BFC">
            <w:pPr>
              <w:spacing w:after="0" w:line="240" w:lineRule="auto"/>
              <w:jc w:val="center"/>
              <w:rPr>
                <w:rFonts w:ascii="Calibri" w:eastAsia="Times New Roman" w:hAnsi="Calibri" w:cs="Calibri"/>
                <w:b/>
                <w:bCs/>
                <w:color w:val="000000"/>
                <w:sz w:val="24"/>
                <w:szCs w:val="24"/>
              </w:rPr>
            </w:pPr>
            <w:r w:rsidRPr="0037309D">
              <w:rPr>
                <w:rFonts w:ascii="Calibri" w:eastAsia="Times New Roman" w:hAnsi="Calibri" w:cs="Calibri"/>
                <w:b/>
                <w:bCs/>
                <w:color w:val="000000"/>
                <w:sz w:val="24"/>
                <w:szCs w:val="24"/>
              </w:rPr>
              <w:t xml:space="preserve">ΠΙΝΑΚΑΣ </w:t>
            </w:r>
            <w:r w:rsidR="00AC6997">
              <w:rPr>
                <w:rFonts w:ascii="Calibri" w:eastAsia="Times New Roman" w:hAnsi="Calibri" w:cs="Calibri"/>
                <w:b/>
                <w:bCs/>
                <w:color w:val="000000"/>
                <w:sz w:val="24"/>
                <w:szCs w:val="24"/>
              </w:rPr>
              <w:t>9</w:t>
            </w:r>
          </w:p>
          <w:p w:rsidR="00CC423E" w:rsidRPr="0037309D" w:rsidRDefault="00CC423E" w:rsidP="00700BFC">
            <w:pPr>
              <w:spacing w:after="0" w:line="240" w:lineRule="auto"/>
              <w:jc w:val="center"/>
              <w:rPr>
                <w:rFonts w:ascii="Calibri" w:eastAsia="Times New Roman" w:hAnsi="Calibri" w:cs="Calibri"/>
                <w:b/>
                <w:bCs/>
                <w:color w:val="000000"/>
                <w:sz w:val="24"/>
                <w:szCs w:val="24"/>
              </w:rPr>
            </w:pPr>
            <w:r w:rsidRPr="0037309D">
              <w:rPr>
                <w:rFonts w:ascii="Calibri" w:eastAsia="Times New Roman" w:hAnsi="Calibri" w:cs="Calibri"/>
                <w:b/>
                <w:bCs/>
                <w:color w:val="000000"/>
                <w:sz w:val="24"/>
                <w:szCs w:val="24"/>
              </w:rPr>
              <w:t>Βαθμός υπερχρέωσης μικρών και πολύ μικρών επιχειρήσεων ανά κατηγορία επιχειρήσεων το πρώτο εξάμηνο του 2022</w:t>
            </w:r>
          </w:p>
        </w:tc>
      </w:tr>
      <w:tr w:rsidR="00CC423E" w:rsidRPr="0037309D" w:rsidTr="005A25E4">
        <w:trPr>
          <w:trHeight w:val="300"/>
        </w:trPr>
        <w:tc>
          <w:tcPr>
            <w:tcW w:w="1407" w:type="pct"/>
            <w:vMerge w:val="restart"/>
            <w:tcBorders>
              <w:top w:val="nil"/>
              <w:left w:val="single" w:sz="4" w:space="0" w:color="auto"/>
              <w:bottom w:val="single" w:sz="4" w:space="0" w:color="auto"/>
              <w:right w:val="single" w:sz="4" w:space="0" w:color="auto"/>
            </w:tcBorders>
            <w:shd w:val="clear" w:color="D9E1F2" w:fill="D9E1F2"/>
            <w:noWrap/>
            <w:vAlign w:val="bottom"/>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 </w:t>
            </w:r>
          </w:p>
        </w:tc>
        <w:tc>
          <w:tcPr>
            <w:tcW w:w="1273" w:type="pct"/>
            <w:gridSpan w:val="3"/>
            <w:tcBorders>
              <w:top w:val="single" w:sz="4" w:space="0" w:color="auto"/>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ΚΛΑΔΟΣ</w:t>
            </w:r>
          </w:p>
        </w:tc>
        <w:tc>
          <w:tcPr>
            <w:tcW w:w="2320" w:type="pct"/>
            <w:gridSpan w:val="6"/>
            <w:tcBorders>
              <w:top w:val="single" w:sz="4" w:space="0" w:color="auto"/>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 xml:space="preserve">ΕΤΗΣΙΟΣ ΚΥΚΛΟΣ ΕΡΓΑΣΙΩΝ </w:t>
            </w:r>
          </w:p>
        </w:tc>
      </w:tr>
      <w:tr w:rsidR="00CC423E" w:rsidRPr="0037309D" w:rsidTr="005A25E4">
        <w:trPr>
          <w:trHeight w:val="600"/>
        </w:trPr>
        <w:tc>
          <w:tcPr>
            <w:tcW w:w="1407" w:type="pct"/>
            <w:vMerge/>
            <w:tcBorders>
              <w:top w:val="nil"/>
              <w:left w:val="single" w:sz="4" w:space="0" w:color="auto"/>
              <w:bottom w:val="single" w:sz="4" w:space="0" w:color="auto"/>
              <w:right w:val="single" w:sz="4" w:space="0" w:color="auto"/>
            </w:tcBorders>
            <w:vAlign w:val="center"/>
            <w:hideMark/>
          </w:tcPr>
          <w:p w:rsidR="00CC423E" w:rsidRPr="0037309D" w:rsidRDefault="00CC423E" w:rsidP="00700BFC">
            <w:pPr>
              <w:spacing w:after="0" w:line="240" w:lineRule="auto"/>
              <w:rPr>
                <w:rFonts w:ascii="Calibri" w:eastAsia="Times New Roman" w:hAnsi="Calibri" w:cs="Calibri"/>
                <w:b/>
                <w:bCs/>
                <w:color w:val="000000"/>
                <w:sz w:val="16"/>
                <w:szCs w:val="16"/>
              </w:rPr>
            </w:pPr>
          </w:p>
        </w:tc>
        <w:tc>
          <w:tcPr>
            <w:tcW w:w="42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Εμπόριο</w:t>
            </w:r>
          </w:p>
        </w:tc>
        <w:tc>
          <w:tcPr>
            <w:tcW w:w="464"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Μεταποίηση</w:t>
            </w:r>
          </w:p>
        </w:tc>
        <w:tc>
          <w:tcPr>
            <w:tcW w:w="387"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Υπηρεσίες</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Έως</w:t>
            </w:r>
            <w:r w:rsidRPr="0037309D">
              <w:rPr>
                <w:rFonts w:ascii="Calibri" w:eastAsia="Times New Roman" w:hAnsi="Calibri" w:cs="Calibri"/>
                <w:b/>
                <w:bCs/>
                <w:color w:val="000000"/>
                <w:sz w:val="16"/>
                <w:szCs w:val="16"/>
              </w:rPr>
              <w:t xml:space="preserve"> 50.000 €</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50.000 - 100.000 €</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100.001 - 300.000 €</w:t>
            </w:r>
          </w:p>
        </w:tc>
        <w:tc>
          <w:tcPr>
            <w:tcW w:w="376"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300.001 - 500.000 €</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500.001 - 1.000.000 €</w:t>
            </w:r>
          </w:p>
        </w:tc>
        <w:tc>
          <w:tcPr>
            <w:tcW w:w="458"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Πάνω από 1.000.000 €</w:t>
            </w:r>
          </w:p>
        </w:tc>
      </w:tr>
      <w:tr w:rsidR="00CC423E" w:rsidRPr="0037309D"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1 καθυστερημένη οφειλή</w:t>
            </w:r>
          </w:p>
        </w:tc>
        <w:tc>
          <w:tcPr>
            <w:tcW w:w="42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13,0%</w:t>
            </w:r>
          </w:p>
        </w:tc>
        <w:tc>
          <w:tcPr>
            <w:tcW w:w="464"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15,0%</w:t>
            </w:r>
          </w:p>
        </w:tc>
        <w:tc>
          <w:tcPr>
            <w:tcW w:w="387"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9,7%</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12,0%</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12,7%</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12,3%</w:t>
            </w:r>
          </w:p>
        </w:tc>
        <w:tc>
          <w:tcPr>
            <w:tcW w:w="376"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16,7%</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12,1%</w:t>
            </w:r>
          </w:p>
        </w:tc>
        <w:tc>
          <w:tcPr>
            <w:tcW w:w="458"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11,4%</w:t>
            </w:r>
          </w:p>
        </w:tc>
      </w:tr>
      <w:tr w:rsidR="00CC423E" w:rsidRPr="0037309D"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2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10,0%</w:t>
            </w:r>
          </w:p>
        </w:tc>
        <w:tc>
          <w:tcPr>
            <w:tcW w:w="464"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8,8%</w:t>
            </w:r>
          </w:p>
        </w:tc>
        <w:tc>
          <w:tcPr>
            <w:tcW w:w="387"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8,7%</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9,8%</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8,2%</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13,0%</w:t>
            </w:r>
          </w:p>
        </w:tc>
        <w:tc>
          <w:tcPr>
            <w:tcW w:w="376"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5,6%</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9,1%</w:t>
            </w:r>
          </w:p>
        </w:tc>
        <w:tc>
          <w:tcPr>
            <w:tcW w:w="458"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5,7%</w:t>
            </w:r>
          </w:p>
        </w:tc>
      </w:tr>
      <w:tr w:rsidR="00CC423E" w:rsidRPr="0037309D" w:rsidTr="005A25E4">
        <w:trPr>
          <w:trHeight w:val="600"/>
        </w:trPr>
        <w:tc>
          <w:tcPr>
            <w:tcW w:w="1407" w:type="pct"/>
            <w:tcBorders>
              <w:top w:val="nil"/>
              <w:left w:val="single" w:sz="4" w:space="0" w:color="auto"/>
              <w:bottom w:val="single" w:sz="4" w:space="0" w:color="auto"/>
              <w:right w:val="single" w:sz="4" w:space="0" w:color="auto"/>
            </w:tcBorders>
            <w:shd w:val="clear" w:color="auto" w:fill="auto"/>
            <w:vAlign w:val="bottom"/>
            <w:hideMark/>
          </w:tcPr>
          <w:p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3 ή και περισσότερες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15,4%</w:t>
            </w:r>
          </w:p>
        </w:tc>
        <w:tc>
          <w:tcPr>
            <w:tcW w:w="464"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18,1%</w:t>
            </w:r>
          </w:p>
        </w:tc>
        <w:tc>
          <w:tcPr>
            <w:tcW w:w="387"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17,2%</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22,4%</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15,7%</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8,7%</w:t>
            </w:r>
          </w:p>
        </w:tc>
        <w:tc>
          <w:tcPr>
            <w:tcW w:w="376"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11,1%</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12,1%</w:t>
            </w:r>
          </w:p>
        </w:tc>
        <w:tc>
          <w:tcPr>
            <w:tcW w:w="458"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5,7%</w:t>
            </w:r>
          </w:p>
        </w:tc>
      </w:tr>
      <w:tr w:rsidR="00CC423E" w:rsidRPr="0037309D" w:rsidTr="005A25E4">
        <w:trPr>
          <w:trHeight w:val="600"/>
        </w:trPr>
        <w:tc>
          <w:tcPr>
            <w:tcW w:w="1407" w:type="pct"/>
            <w:vMerge w:val="restart"/>
            <w:tcBorders>
              <w:top w:val="nil"/>
              <w:left w:val="single" w:sz="4" w:space="0" w:color="auto"/>
              <w:bottom w:val="single" w:sz="4" w:space="0" w:color="auto"/>
              <w:right w:val="single" w:sz="4" w:space="0" w:color="auto"/>
            </w:tcBorders>
            <w:shd w:val="clear" w:color="D9E1F2" w:fill="D9E1F2"/>
            <w:vAlign w:val="bottom"/>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 </w:t>
            </w:r>
          </w:p>
        </w:tc>
        <w:tc>
          <w:tcPr>
            <w:tcW w:w="1644" w:type="pct"/>
            <w:gridSpan w:val="4"/>
            <w:tcBorders>
              <w:top w:val="single" w:sz="4" w:space="0" w:color="auto"/>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ΑΡΙΘΜΟΣ ΕΡΓΑΖΟΜΕΝΩΝ</w:t>
            </w:r>
          </w:p>
        </w:tc>
        <w:tc>
          <w:tcPr>
            <w:tcW w:w="1490" w:type="pct"/>
            <w:gridSpan w:val="4"/>
            <w:tcBorders>
              <w:top w:val="single" w:sz="4" w:space="0" w:color="auto"/>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ΓΕΩΓΡΑΦΙΚΗ ΠΕΡΙΟΧΗ</w:t>
            </w:r>
          </w:p>
        </w:tc>
        <w:tc>
          <w:tcPr>
            <w:tcW w:w="458"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ΥΠΟΚΛΑΔΟΣ</w:t>
            </w:r>
          </w:p>
        </w:tc>
      </w:tr>
      <w:tr w:rsidR="00CC423E" w:rsidRPr="0037309D" w:rsidTr="005A25E4">
        <w:trPr>
          <w:trHeight w:val="900"/>
        </w:trPr>
        <w:tc>
          <w:tcPr>
            <w:tcW w:w="1407" w:type="pct"/>
            <w:vMerge/>
            <w:tcBorders>
              <w:top w:val="nil"/>
              <w:left w:val="single" w:sz="4" w:space="0" w:color="auto"/>
              <w:bottom w:val="single" w:sz="4" w:space="0" w:color="auto"/>
              <w:right w:val="single" w:sz="4" w:space="0" w:color="auto"/>
            </w:tcBorders>
            <w:vAlign w:val="center"/>
            <w:hideMark/>
          </w:tcPr>
          <w:p w:rsidR="00CC423E" w:rsidRPr="0037309D" w:rsidRDefault="00CC423E" w:rsidP="00700BFC">
            <w:pPr>
              <w:spacing w:after="0" w:line="240" w:lineRule="auto"/>
              <w:rPr>
                <w:rFonts w:ascii="Calibri" w:eastAsia="Times New Roman" w:hAnsi="Calibri" w:cs="Calibri"/>
                <w:b/>
                <w:bCs/>
                <w:color w:val="000000"/>
                <w:sz w:val="16"/>
                <w:szCs w:val="16"/>
              </w:rPr>
            </w:pPr>
          </w:p>
        </w:tc>
        <w:tc>
          <w:tcPr>
            <w:tcW w:w="42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Χωρίς προσωπικό</w:t>
            </w:r>
          </w:p>
        </w:tc>
        <w:tc>
          <w:tcPr>
            <w:tcW w:w="464"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1 έως 4</w:t>
            </w:r>
          </w:p>
        </w:tc>
        <w:tc>
          <w:tcPr>
            <w:tcW w:w="387"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5 έως 9</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10 έως 49</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EL3 ΑΤΤΙΚΗ</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EL5 ΒΟΡΕΙΑ ΕΛΛΑΔΑ</w:t>
            </w:r>
          </w:p>
        </w:tc>
        <w:tc>
          <w:tcPr>
            <w:tcW w:w="376"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EL6 ΚΕΝΤΡΙΚΗ ΕΛΛΑΔΑ</w:t>
            </w:r>
          </w:p>
        </w:tc>
        <w:tc>
          <w:tcPr>
            <w:tcW w:w="371"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EL4 ΝΗΣΙΑ ΑΙΓΑΙΟΥ &amp; ΚΡΗΤΗ</w:t>
            </w:r>
          </w:p>
        </w:tc>
        <w:tc>
          <w:tcPr>
            <w:tcW w:w="458" w:type="pct"/>
            <w:tcBorders>
              <w:top w:val="nil"/>
              <w:left w:val="nil"/>
              <w:bottom w:val="single" w:sz="4" w:space="0" w:color="auto"/>
              <w:right w:val="single" w:sz="4" w:space="0" w:color="auto"/>
            </w:tcBorders>
            <w:shd w:val="clear" w:color="D9E1F2" w:fill="D9E1F2"/>
            <w:vAlign w:val="center"/>
            <w:hideMark/>
          </w:tcPr>
          <w:p w:rsidR="00CC423E" w:rsidRPr="0037309D" w:rsidRDefault="00CC423E" w:rsidP="00700BFC">
            <w:pPr>
              <w:spacing w:after="0" w:line="240" w:lineRule="auto"/>
              <w:jc w:val="center"/>
              <w:rPr>
                <w:rFonts w:ascii="Calibri" w:eastAsia="Times New Roman" w:hAnsi="Calibri" w:cs="Calibri"/>
                <w:b/>
                <w:bCs/>
                <w:color w:val="000000"/>
                <w:sz w:val="16"/>
                <w:szCs w:val="16"/>
              </w:rPr>
            </w:pPr>
            <w:r w:rsidRPr="0037309D">
              <w:rPr>
                <w:rFonts w:ascii="Calibri" w:eastAsia="Times New Roman" w:hAnsi="Calibri" w:cs="Calibri"/>
                <w:b/>
                <w:bCs/>
                <w:color w:val="000000"/>
                <w:sz w:val="16"/>
                <w:szCs w:val="16"/>
              </w:rPr>
              <w:t>Εστίαση</w:t>
            </w:r>
          </w:p>
        </w:tc>
      </w:tr>
      <w:tr w:rsidR="00CC423E" w:rsidRPr="0037309D"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1 καθυστερημένη οφειλή</w:t>
            </w:r>
          </w:p>
        </w:tc>
        <w:tc>
          <w:tcPr>
            <w:tcW w:w="42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12,6%</w:t>
            </w:r>
          </w:p>
        </w:tc>
        <w:tc>
          <w:tcPr>
            <w:tcW w:w="464"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11,6%</w:t>
            </w:r>
          </w:p>
        </w:tc>
        <w:tc>
          <w:tcPr>
            <w:tcW w:w="387"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12,9%</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13,5%</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11,3%</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10,6%</w:t>
            </w:r>
          </w:p>
        </w:tc>
        <w:tc>
          <w:tcPr>
            <w:tcW w:w="376"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16,4%</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10,6%</w:t>
            </w:r>
          </w:p>
        </w:tc>
        <w:tc>
          <w:tcPr>
            <w:tcW w:w="458"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15,1%</w:t>
            </w:r>
          </w:p>
        </w:tc>
      </w:tr>
      <w:tr w:rsidR="00CC423E" w:rsidRPr="0037309D" w:rsidTr="005A25E4">
        <w:trPr>
          <w:trHeight w:val="300"/>
        </w:trPr>
        <w:tc>
          <w:tcPr>
            <w:tcW w:w="1407" w:type="pct"/>
            <w:tcBorders>
              <w:top w:val="nil"/>
              <w:left w:val="single" w:sz="4" w:space="0" w:color="auto"/>
              <w:bottom w:val="single" w:sz="4" w:space="0" w:color="auto"/>
              <w:right w:val="single" w:sz="4" w:space="0" w:color="auto"/>
            </w:tcBorders>
            <w:shd w:val="clear" w:color="auto" w:fill="auto"/>
            <w:vAlign w:val="bottom"/>
            <w:hideMark/>
          </w:tcPr>
          <w:p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2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10,1%</w:t>
            </w:r>
          </w:p>
        </w:tc>
        <w:tc>
          <w:tcPr>
            <w:tcW w:w="464"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9,6%</w:t>
            </w:r>
          </w:p>
        </w:tc>
        <w:tc>
          <w:tcPr>
            <w:tcW w:w="387"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5,9%</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7,7%</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9,6%</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7,4%</w:t>
            </w:r>
          </w:p>
        </w:tc>
        <w:tc>
          <w:tcPr>
            <w:tcW w:w="376"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11,6%</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7,7%</w:t>
            </w:r>
          </w:p>
        </w:tc>
        <w:tc>
          <w:tcPr>
            <w:tcW w:w="458"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11,0%</w:t>
            </w:r>
          </w:p>
        </w:tc>
      </w:tr>
      <w:tr w:rsidR="00CC423E" w:rsidRPr="0037309D" w:rsidTr="005A25E4">
        <w:trPr>
          <w:trHeight w:val="600"/>
        </w:trPr>
        <w:tc>
          <w:tcPr>
            <w:tcW w:w="1407" w:type="pct"/>
            <w:tcBorders>
              <w:top w:val="nil"/>
              <w:left w:val="single" w:sz="4" w:space="0" w:color="auto"/>
              <w:bottom w:val="single" w:sz="4" w:space="0" w:color="auto"/>
              <w:right w:val="single" w:sz="4" w:space="0" w:color="auto"/>
            </w:tcBorders>
            <w:shd w:val="clear" w:color="auto" w:fill="auto"/>
            <w:vAlign w:val="bottom"/>
            <w:hideMark/>
          </w:tcPr>
          <w:p w:rsidR="00CC423E" w:rsidRPr="0037309D" w:rsidRDefault="00CC423E" w:rsidP="00700BFC">
            <w:pPr>
              <w:spacing w:after="0" w:line="240" w:lineRule="auto"/>
              <w:rPr>
                <w:rFonts w:ascii="Calibri" w:eastAsia="Times New Roman" w:hAnsi="Calibri" w:cs="Calibri"/>
                <w:color w:val="000000"/>
                <w:sz w:val="16"/>
                <w:szCs w:val="16"/>
              </w:rPr>
            </w:pPr>
            <w:r w:rsidRPr="0037309D">
              <w:rPr>
                <w:rFonts w:ascii="Calibri" w:eastAsia="Times New Roman" w:hAnsi="Calibri" w:cs="Calibri"/>
                <w:color w:val="000000"/>
                <w:sz w:val="16"/>
                <w:szCs w:val="16"/>
              </w:rPr>
              <w:t>3 ή και περισσότερες καθυστερημένες οφειλές</w:t>
            </w:r>
          </w:p>
        </w:tc>
        <w:tc>
          <w:tcPr>
            <w:tcW w:w="42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23,4%</w:t>
            </w:r>
          </w:p>
        </w:tc>
        <w:tc>
          <w:tcPr>
            <w:tcW w:w="464"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14,3%</w:t>
            </w:r>
          </w:p>
        </w:tc>
        <w:tc>
          <w:tcPr>
            <w:tcW w:w="387"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11,9%</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7,7%</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18,2%</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17,5%</w:t>
            </w:r>
          </w:p>
        </w:tc>
        <w:tc>
          <w:tcPr>
            <w:tcW w:w="376"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14,3%</w:t>
            </w:r>
          </w:p>
        </w:tc>
        <w:tc>
          <w:tcPr>
            <w:tcW w:w="371"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15,4%</w:t>
            </w:r>
          </w:p>
        </w:tc>
        <w:tc>
          <w:tcPr>
            <w:tcW w:w="458" w:type="pct"/>
            <w:tcBorders>
              <w:top w:val="nil"/>
              <w:left w:val="nil"/>
              <w:bottom w:val="single" w:sz="4" w:space="0" w:color="auto"/>
              <w:right w:val="single" w:sz="4" w:space="0" w:color="auto"/>
            </w:tcBorders>
            <w:shd w:val="clear" w:color="auto" w:fill="auto"/>
            <w:noWrap/>
            <w:vAlign w:val="center"/>
            <w:hideMark/>
          </w:tcPr>
          <w:p w:rsidR="00CC423E" w:rsidRPr="0037309D" w:rsidRDefault="00CC423E" w:rsidP="00700BFC">
            <w:pPr>
              <w:spacing w:after="0" w:line="240" w:lineRule="auto"/>
              <w:jc w:val="center"/>
              <w:rPr>
                <w:rFonts w:ascii="Calibri" w:eastAsia="Times New Roman" w:hAnsi="Calibri" w:cs="Calibri"/>
                <w:color w:val="000000"/>
                <w:sz w:val="16"/>
                <w:szCs w:val="16"/>
              </w:rPr>
            </w:pPr>
            <w:r w:rsidRPr="0037309D">
              <w:rPr>
                <w:rFonts w:ascii="Calibri" w:eastAsia="Times New Roman" w:hAnsi="Calibri" w:cs="Calibri"/>
                <w:color w:val="000000"/>
                <w:sz w:val="16"/>
                <w:szCs w:val="16"/>
              </w:rPr>
              <w:t>28,8%</w:t>
            </w:r>
          </w:p>
        </w:tc>
      </w:tr>
    </w:tbl>
    <w:p w:rsidR="00CC423E" w:rsidRPr="0037309D" w:rsidRDefault="00CC423E" w:rsidP="00700BFC">
      <w:pPr>
        <w:spacing w:after="0" w:line="360" w:lineRule="auto"/>
        <w:jc w:val="both"/>
        <w:rPr>
          <w:rFonts w:eastAsia="Times New Roman" w:cstheme="minorHAnsi"/>
          <w:sz w:val="24"/>
          <w:szCs w:val="24"/>
        </w:rPr>
      </w:pPr>
    </w:p>
    <w:p w:rsidR="00CC423E" w:rsidRPr="001A3099" w:rsidRDefault="00CC423E" w:rsidP="00700BFC">
      <w:pPr>
        <w:spacing w:after="0" w:line="360" w:lineRule="auto"/>
        <w:jc w:val="both"/>
        <w:rPr>
          <w:rFonts w:eastAsia="Times New Roman" w:cstheme="minorHAnsi"/>
          <w:sz w:val="24"/>
          <w:szCs w:val="24"/>
        </w:rPr>
      </w:pPr>
      <w:r w:rsidRPr="001A3099">
        <w:rPr>
          <w:rFonts w:eastAsia="Times New Roman" w:cstheme="minorHAnsi"/>
          <w:sz w:val="24"/>
          <w:szCs w:val="24"/>
        </w:rPr>
        <w:t>Όσον αφορά την κάθε κατηγορία υποχρεώσεων, τα ευρήματα της έρευνας είναι τα εξής (Γράφημα 2</w:t>
      </w:r>
      <w:r w:rsidR="003401D3">
        <w:rPr>
          <w:rFonts w:eastAsia="Times New Roman" w:cstheme="minorHAnsi"/>
          <w:sz w:val="24"/>
          <w:szCs w:val="24"/>
        </w:rPr>
        <w:t>5</w:t>
      </w:r>
      <w:r w:rsidRPr="001A3099">
        <w:rPr>
          <w:rFonts w:eastAsia="Times New Roman" w:cstheme="minorHAnsi"/>
          <w:sz w:val="24"/>
          <w:szCs w:val="24"/>
        </w:rPr>
        <w:t xml:space="preserve">): </w:t>
      </w:r>
    </w:p>
    <w:p w:rsidR="00CC423E" w:rsidRPr="001A3099" w:rsidRDefault="00CC423E" w:rsidP="00700BFC">
      <w:pPr>
        <w:numPr>
          <w:ilvl w:val="0"/>
          <w:numId w:val="6"/>
        </w:numPr>
        <w:spacing w:after="0" w:line="360" w:lineRule="auto"/>
        <w:contextualSpacing/>
        <w:jc w:val="both"/>
        <w:rPr>
          <w:rFonts w:eastAsia="Times New Roman" w:cstheme="minorHAnsi"/>
          <w:sz w:val="24"/>
          <w:szCs w:val="24"/>
        </w:rPr>
      </w:pPr>
      <w:r>
        <w:rPr>
          <w:rFonts w:eastAsia="Times New Roman" w:cstheme="minorHAnsi"/>
          <w:sz w:val="24"/>
          <w:szCs w:val="24"/>
        </w:rPr>
        <w:t>τ</w:t>
      </w:r>
      <w:r w:rsidRPr="001A3099">
        <w:rPr>
          <w:rFonts w:eastAsia="Times New Roman" w:cstheme="minorHAnsi"/>
          <w:sz w:val="24"/>
          <w:szCs w:val="24"/>
        </w:rPr>
        <w:t>ο 19% των μικρών και πολύ μικρών επιχειρήσεων δήλωσε πως έχει ληξιπρόθεσμες οφειλές προς τον πρώην ΟΑΕΕ</w:t>
      </w:r>
      <w:r>
        <w:rPr>
          <w:rFonts w:eastAsia="Times New Roman" w:cstheme="minorHAnsi"/>
          <w:sz w:val="24"/>
          <w:szCs w:val="24"/>
        </w:rPr>
        <w:t>,</w:t>
      </w:r>
    </w:p>
    <w:p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το 17,5%</w:t>
      </w:r>
      <w:r w:rsidRPr="001A3099">
        <w:rPr>
          <w:rFonts w:eastAsia="Times New Roman" w:cstheme="minorHAnsi"/>
          <w:sz w:val="24"/>
          <w:szCs w:val="24"/>
        </w:rPr>
        <w:t xml:space="preserve"> δήλωσε πως έχει ληξιπρόθεσμες οφειλές σε λογαριασμούς ενέργειας</w:t>
      </w:r>
      <w:r>
        <w:rPr>
          <w:rFonts w:eastAsia="Times New Roman" w:cstheme="minorHAnsi"/>
          <w:sz w:val="24"/>
          <w:szCs w:val="24"/>
        </w:rPr>
        <w:t>,</w:t>
      </w:r>
    </w:p>
    <w:p w:rsidR="00CC423E"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το 16%</w:t>
      </w:r>
      <w:r w:rsidRPr="001A3099">
        <w:rPr>
          <w:rFonts w:cstheme="minorHAnsi"/>
        </w:rPr>
        <w:t xml:space="preserve"> </w:t>
      </w:r>
      <w:r w:rsidRPr="001A3099">
        <w:rPr>
          <w:rFonts w:eastAsia="Times New Roman" w:cstheme="minorHAnsi"/>
          <w:sz w:val="24"/>
          <w:szCs w:val="24"/>
        </w:rPr>
        <w:t>δήλωσε πως έχει ληξιπρόθεσμες οφειλές προς προμηθευτές</w:t>
      </w:r>
      <w:r>
        <w:rPr>
          <w:rFonts w:eastAsia="Times New Roman" w:cstheme="minorHAnsi"/>
          <w:sz w:val="24"/>
          <w:szCs w:val="24"/>
        </w:rPr>
        <w:t>,</w:t>
      </w:r>
    </w:p>
    <w:p w:rsidR="00CC423E" w:rsidRPr="00FD3FE2"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το 15,9% δήλωσε πως έχει ληξιπρόθεσμες οφειλές προς την εφορία,</w:t>
      </w:r>
    </w:p>
    <w:p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w:t>
      </w:r>
      <w:r w:rsidRPr="001A3099">
        <w:rPr>
          <w:rFonts w:eastAsia="Times New Roman" w:cstheme="minorHAnsi"/>
          <w:sz w:val="24"/>
          <w:szCs w:val="24"/>
        </w:rPr>
        <w:t xml:space="preserve">ο </w:t>
      </w:r>
      <w:r>
        <w:rPr>
          <w:rFonts w:eastAsia="Times New Roman" w:cstheme="minorHAnsi"/>
          <w:sz w:val="24"/>
          <w:szCs w:val="24"/>
        </w:rPr>
        <w:t>11,2</w:t>
      </w:r>
      <w:r w:rsidRPr="001A3099">
        <w:rPr>
          <w:rFonts w:eastAsia="Times New Roman" w:cstheme="minorHAnsi"/>
          <w:sz w:val="24"/>
          <w:szCs w:val="24"/>
        </w:rPr>
        <w:t xml:space="preserve">% δήλωσε πως έχει ληξιπρόθεσμες οφειλές ενοικίου (14,3% το πρώτο εξάμηνο του 2021). Σημειώνεται ότι από τις επιχειρήσεις που έχουν ενοίκιο (το </w:t>
      </w:r>
      <w:r>
        <w:rPr>
          <w:rFonts w:eastAsia="Times New Roman" w:cstheme="minorHAnsi"/>
          <w:sz w:val="24"/>
          <w:szCs w:val="24"/>
        </w:rPr>
        <w:t>66</w:t>
      </w:r>
      <w:r w:rsidRPr="001A3099">
        <w:rPr>
          <w:rFonts w:eastAsia="Times New Roman" w:cstheme="minorHAnsi"/>
          <w:sz w:val="24"/>
          <w:szCs w:val="24"/>
        </w:rPr>
        <w:t xml:space="preserve">% του συνόλου των επιχειρήσεων), το ποσοστό των επιχειρήσεων που δήλωσαν ότι έχουν ληξιπρόθεσμες οφειλές ενοικίου αντιστοιχεί στο </w:t>
      </w:r>
      <w:r>
        <w:rPr>
          <w:rFonts w:eastAsia="Times New Roman" w:cstheme="minorHAnsi"/>
          <w:sz w:val="24"/>
          <w:szCs w:val="24"/>
        </w:rPr>
        <w:t>17</w:t>
      </w:r>
      <w:r w:rsidRPr="001A3099">
        <w:rPr>
          <w:rFonts w:eastAsia="Times New Roman" w:cstheme="minorHAnsi"/>
          <w:sz w:val="24"/>
          <w:szCs w:val="24"/>
        </w:rPr>
        <w:t>%</w:t>
      </w:r>
      <w:r>
        <w:rPr>
          <w:rFonts w:eastAsia="Times New Roman" w:cstheme="minorHAnsi"/>
          <w:sz w:val="24"/>
          <w:szCs w:val="24"/>
        </w:rPr>
        <w:t>.</w:t>
      </w:r>
    </w:p>
    <w:p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sidRPr="001A3099">
        <w:rPr>
          <w:rFonts w:eastAsia="Times New Roman" w:cstheme="minorHAnsi"/>
          <w:sz w:val="24"/>
          <w:szCs w:val="24"/>
        </w:rPr>
        <w:lastRenderedPageBreak/>
        <w:t xml:space="preserve">Το </w:t>
      </w:r>
      <w:r>
        <w:rPr>
          <w:rFonts w:eastAsia="Times New Roman" w:cstheme="minorHAnsi"/>
          <w:sz w:val="24"/>
          <w:szCs w:val="24"/>
        </w:rPr>
        <w:t>8,9</w:t>
      </w:r>
      <w:r w:rsidRPr="001A3099">
        <w:rPr>
          <w:rFonts w:eastAsia="Times New Roman" w:cstheme="minorHAnsi"/>
          <w:sz w:val="24"/>
          <w:szCs w:val="24"/>
        </w:rPr>
        <w:t>% δήλωσε πως έχει ληξιπρόθεσμες οφειλές σε λοιπούς λογαριασμούς (νερό, τηλεφωνία κ.λπ.)</w:t>
      </w:r>
      <w:r>
        <w:rPr>
          <w:rFonts w:eastAsia="Times New Roman" w:cstheme="minorHAnsi"/>
          <w:sz w:val="24"/>
          <w:szCs w:val="24"/>
        </w:rPr>
        <w:t>,</w:t>
      </w:r>
    </w:p>
    <w:p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Pr>
          <w:rFonts w:eastAsia="Times New Roman" w:cstheme="minorHAnsi"/>
          <w:sz w:val="24"/>
          <w:szCs w:val="24"/>
        </w:rPr>
        <w:t>τ</w:t>
      </w:r>
      <w:r w:rsidRPr="001A3099">
        <w:rPr>
          <w:rFonts w:eastAsia="Times New Roman" w:cstheme="minorHAnsi"/>
          <w:sz w:val="24"/>
          <w:szCs w:val="24"/>
        </w:rPr>
        <w:t xml:space="preserve">ο </w:t>
      </w:r>
      <w:r>
        <w:rPr>
          <w:rFonts w:eastAsia="Times New Roman" w:cstheme="minorHAnsi"/>
          <w:sz w:val="24"/>
          <w:szCs w:val="24"/>
        </w:rPr>
        <w:t>10,2</w:t>
      </w:r>
      <w:r w:rsidRPr="001A3099">
        <w:rPr>
          <w:rFonts w:eastAsia="Times New Roman" w:cstheme="minorHAnsi"/>
          <w:sz w:val="24"/>
          <w:szCs w:val="24"/>
        </w:rPr>
        <w:t xml:space="preserve">% δήλωσε πως έχει ληξιπρόθεσμες τραπεζικές οφειλές. Σημειώνεται ότι από τις επιχειρήσεις που έχουν τραπεζικά δάνεια (το </w:t>
      </w:r>
      <w:r>
        <w:rPr>
          <w:rFonts w:eastAsia="Times New Roman" w:cstheme="minorHAnsi"/>
          <w:sz w:val="24"/>
          <w:szCs w:val="24"/>
        </w:rPr>
        <w:t>57</w:t>
      </w:r>
      <w:r w:rsidRPr="001A3099">
        <w:rPr>
          <w:rFonts w:eastAsia="Times New Roman" w:cstheme="minorHAnsi"/>
          <w:sz w:val="24"/>
          <w:szCs w:val="24"/>
        </w:rPr>
        <w:t>% του συνόλου των επιχειρήσεων), το ποσο</w:t>
      </w:r>
      <w:r w:rsidR="008914DB">
        <w:rPr>
          <w:rFonts w:eastAsia="Times New Roman" w:cstheme="minorHAnsi"/>
          <w:sz w:val="24"/>
          <w:szCs w:val="24"/>
        </w:rPr>
        <w:t>στό των επιχειρήσεων που δήλωσε ότι έχει</w:t>
      </w:r>
      <w:r w:rsidRPr="001A3099">
        <w:rPr>
          <w:rFonts w:eastAsia="Times New Roman" w:cstheme="minorHAnsi"/>
          <w:sz w:val="24"/>
          <w:szCs w:val="24"/>
        </w:rPr>
        <w:t xml:space="preserve"> ληξιπρόθεσμες τραπεζικές οφειλές αντιστοιχεί στο </w:t>
      </w:r>
      <w:r>
        <w:rPr>
          <w:rFonts w:eastAsia="Times New Roman" w:cstheme="minorHAnsi"/>
          <w:sz w:val="24"/>
          <w:szCs w:val="24"/>
        </w:rPr>
        <w:t>18</w:t>
      </w:r>
      <w:r w:rsidRPr="001A3099">
        <w:rPr>
          <w:rFonts w:eastAsia="Times New Roman" w:cstheme="minorHAnsi"/>
          <w:sz w:val="24"/>
          <w:szCs w:val="24"/>
        </w:rPr>
        <w:t xml:space="preserve">%. </w:t>
      </w:r>
    </w:p>
    <w:p w:rsidR="00CC423E" w:rsidRPr="001A3099" w:rsidRDefault="00CC423E" w:rsidP="00700BFC">
      <w:pPr>
        <w:numPr>
          <w:ilvl w:val="0"/>
          <w:numId w:val="3"/>
        </w:numPr>
        <w:spacing w:after="0" w:line="360" w:lineRule="auto"/>
        <w:contextualSpacing/>
        <w:jc w:val="both"/>
        <w:rPr>
          <w:rFonts w:eastAsia="Times New Roman" w:cstheme="minorHAnsi"/>
          <w:sz w:val="24"/>
          <w:szCs w:val="24"/>
        </w:rPr>
      </w:pPr>
      <w:r w:rsidRPr="001A3099">
        <w:rPr>
          <w:rFonts w:eastAsia="Times New Roman" w:cstheme="minorHAnsi"/>
          <w:sz w:val="24"/>
          <w:szCs w:val="24"/>
        </w:rPr>
        <w:t xml:space="preserve">Το </w:t>
      </w:r>
      <w:r>
        <w:rPr>
          <w:rFonts w:eastAsia="Times New Roman" w:cstheme="minorHAnsi"/>
          <w:sz w:val="24"/>
          <w:szCs w:val="24"/>
        </w:rPr>
        <w:t>7,2</w:t>
      </w:r>
      <w:r w:rsidRPr="001A3099">
        <w:rPr>
          <w:rFonts w:eastAsia="Times New Roman" w:cstheme="minorHAnsi"/>
          <w:sz w:val="24"/>
          <w:szCs w:val="24"/>
        </w:rPr>
        <w:t>% δήλωσε πως έχει ληξιπρόθεσμες οφειλές προς το πρώην ΙΚΑ.</w:t>
      </w:r>
      <w:r w:rsidRPr="001A3099">
        <w:t xml:space="preserve"> </w:t>
      </w:r>
      <w:r w:rsidRPr="001A3099">
        <w:rPr>
          <w:rFonts w:eastAsia="Times New Roman" w:cstheme="minorHAnsi"/>
          <w:sz w:val="24"/>
          <w:szCs w:val="24"/>
        </w:rPr>
        <w:t xml:space="preserve">Σημειώνεται ότι από τις επιχειρήσεις που έχουν προσωπικό (το </w:t>
      </w:r>
      <w:r>
        <w:rPr>
          <w:rFonts w:eastAsia="Times New Roman" w:cstheme="minorHAnsi"/>
          <w:sz w:val="24"/>
          <w:szCs w:val="24"/>
        </w:rPr>
        <w:t>64,9</w:t>
      </w:r>
      <w:r w:rsidRPr="001A3099">
        <w:rPr>
          <w:rFonts w:eastAsia="Times New Roman" w:cstheme="minorHAnsi"/>
          <w:sz w:val="24"/>
          <w:szCs w:val="24"/>
        </w:rPr>
        <w:t>% του συνόλου των επιχειρήσεων), το ποσο</w:t>
      </w:r>
      <w:r w:rsidR="008914DB">
        <w:rPr>
          <w:rFonts w:eastAsia="Times New Roman" w:cstheme="minorHAnsi"/>
          <w:sz w:val="24"/>
          <w:szCs w:val="24"/>
        </w:rPr>
        <w:t>στό των επιχειρήσεων που δήλωσε ότι έχει</w:t>
      </w:r>
      <w:r w:rsidRPr="001A3099">
        <w:rPr>
          <w:rFonts w:eastAsia="Times New Roman" w:cstheme="minorHAnsi"/>
          <w:sz w:val="24"/>
          <w:szCs w:val="24"/>
        </w:rPr>
        <w:t xml:space="preserve"> ληξιπρόθεσμες οφειλές προς το πρώην ΙΚΑ αντιστοιχεί στο </w:t>
      </w:r>
      <w:r>
        <w:rPr>
          <w:rFonts w:eastAsia="Times New Roman" w:cstheme="minorHAnsi"/>
          <w:sz w:val="24"/>
          <w:szCs w:val="24"/>
        </w:rPr>
        <w:t>9,4</w:t>
      </w:r>
      <w:r w:rsidRPr="001A3099">
        <w:rPr>
          <w:rFonts w:eastAsia="Times New Roman" w:cstheme="minorHAnsi"/>
          <w:sz w:val="24"/>
          <w:szCs w:val="24"/>
        </w:rPr>
        <w:t>%.</w:t>
      </w:r>
    </w:p>
    <w:p w:rsidR="00CC423E" w:rsidRPr="00ED61E5" w:rsidRDefault="00CC423E" w:rsidP="00700BFC">
      <w:pPr>
        <w:spacing w:after="0" w:line="360" w:lineRule="auto"/>
        <w:jc w:val="both"/>
        <w:rPr>
          <w:rFonts w:eastAsia="Times New Roman" w:cstheme="minorHAnsi"/>
          <w:sz w:val="24"/>
          <w:szCs w:val="24"/>
        </w:rPr>
      </w:pPr>
      <w:r w:rsidRPr="001A3099">
        <w:rPr>
          <w:rFonts w:eastAsia="Times New Roman" w:cstheme="minorHAnsi"/>
          <w:sz w:val="24"/>
          <w:szCs w:val="24"/>
        </w:rPr>
        <w:t xml:space="preserve">Από τα παραπάνω, </w:t>
      </w:r>
      <w:r>
        <w:rPr>
          <w:rFonts w:eastAsia="Times New Roman" w:cstheme="minorHAnsi"/>
          <w:sz w:val="24"/>
          <w:szCs w:val="24"/>
        </w:rPr>
        <w:t>υψηλά ποσοστά καταγράφουν</w:t>
      </w:r>
      <w:r w:rsidRPr="001A3099">
        <w:rPr>
          <w:rFonts w:eastAsia="Times New Roman" w:cstheme="minorHAnsi"/>
          <w:sz w:val="24"/>
          <w:szCs w:val="24"/>
        </w:rPr>
        <w:t xml:space="preserve"> οι ληξιπρόθεσμες οφειλές για λογαριασμούς ενέργειας, κάτι που υποδεικνύει τη δύσκολη κατάσταση στην οποία έχει περιέλθει ένας ιδιαίτερα υψηλός αριθμός </w:t>
      </w:r>
      <w:r w:rsidRPr="00ED61E5">
        <w:rPr>
          <w:rFonts w:eastAsia="Times New Roman" w:cstheme="minorHAnsi"/>
          <w:sz w:val="24"/>
          <w:szCs w:val="24"/>
        </w:rPr>
        <w:t xml:space="preserve">επιχειρήσεων, λόγω της υπέρμετρης αύξησης του ενεργειακού κόστους.  </w:t>
      </w:r>
    </w:p>
    <w:p w:rsidR="00CC423E" w:rsidRPr="00ED61E5" w:rsidRDefault="00B36044" w:rsidP="00700BFC">
      <w:pPr>
        <w:spacing w:after="0" w:line="360" w:lineRule="auto"/>
        <w:jc w:val="both"/>
        <w:rPr>
          <w:rFonts w:eastAsia="Times New Roman" w:cstheme="minorHAnsi"/>
          <w:sz w:val="24"/>
          <w:szCs w:val="24"/>
        </w:rPr>
      </w:pPr>
      <w:r>
        <w:rPr>
          <w:noProof/>
        </w:rPr>
        <w:drawing>
          <wp:inline distT="0" distB="0" distL="0" distR="0" wp14:anchorId="0DF661CD" wp14:editId="4012A08F">
            <wp:extent cx="6705600" cy="3371850"/>
            <wp:effectExtent l="0" t="0" r="19050" b="19050"/>
            <wp:docPr id="10" name="Γράφημα 1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423E" w:rsidRPr="00ED61E5" w:rsidRDefault="00CC423E" w:rsidP="00700BFC">
      <w:pPr>
        <w:spacing w:after="0" w:line="360" w:lineRule="auto"/>
        <w:jc w:val="both"/>
        <w:rPr>
          <w:rFonts w:eastAsia="Times New Roman" w:cstheme="minorHAnsi"/>
          <w:sz w:val="24"/>
          <w:szCs w:val="24"/>
        </w:rPr>
      </w:pPr>
      <w:r w:rsidRPr="00ED61E5">
        <w:rPr>
          <w:rFonts w:eastAsia="Times New Roman" w:cstheme="minorHAnsi"/>
          <w:sz w:val="24"/>
          <w:szCs w:val="24"/>
        </w:rPr>
        <w:t>Στον</w:t>
      </w:r>
      <w:r>
        <w:rPr>
          <w:rFonts w:eastAsia="Times New Roman" w:cstheme="minorHAnsi"/>
          <w:sz w:val="24"/>
          <w:szCs w:val="24"/>
        </w:rPr>
        <w:t xml:space="preserve"> </w:t>
      </w:r>
      <w:r w:rsidRPr="00AC6997">
        <w:rPr>
          <w:rFonts w:eastAsia="Times New Roman" w:cstheme="minorHAnsi"/>
          <w:sz w:val="24"/>
          <w:szCs w:val="24"/>
        </w:rPr>
        <w:t>Πίνακα 1</w:t>
      </w:r>
      <w:r w:rsidR="0003191B">
        <w:rPr>
          <w:rFonts w:eastAsia="Times New Roman" w:cstheme="minorHAnsi"/>
          <w:sz w:val="24"/>
          <w:szCs w:val="24"/>
        </w:rPr>
        <w:t>0</w:t>
      </w:r>
      <w:r>
        <w:rPr>
          <w:rFonts w:eastAsia="Times New Roman" w:cstheme="minorHAnsi"/>
          <w:sz w:val="24"/>
          <w:szCs w:val="24"/>
        </w:rPr>
        <w:t xml:space="preserve"> αποτυπώνονται οι ληξιπρόθεσμες οφειλές ανά κατηγορία επιχειρήσεων και ανά κατηγορία οφειλής για το πρώτο εξάμηνο του 2022. Και εδώ τα υψηλότερα ποσοστά ληξιπρόθεσμων οφειλών παρατηρούνται </w:t>
      </w:r>
      <w:r w:rsidR="00A32C1B">
        <w:rPr>
          <w:rFonts w:eastAsia="Times New Roman" w:cstheme="minorHAnsi"/>
          <w:sz w:val="24"/>
          <w:szCs w:val="24"/>
        </w:rPr>
        <w:t>στις επιχειρήσεις εστίασης, όπου</w:t>
      </w:r>
      <w:r>
        <w:rPr>
          <w:rFonts w:eastAsia="Times New Roman" w:cstheme="minorHAnsi"/>
          <w:sz w:val="24"/>
          <w:szCs w:val="24"/>
        </w:rPr>
        <w:t xml:space="preserve"> καταγράφονται τα υψηλότερα ποσοστά οφειλών σε κάθε κατηγορία υποχρεώσεων σε σύγκριση με όλες τις υπόλοιπες κατηγορίες επιχειρήσεις. Επιπλέον, τα υψηλότερα ποσοστά ληξιπρόθεσμων οφειλών καταγράφουν οι μικρότερες</w:t>
      </w:r>
      <w:r w:rsidR="008914DB">
        <w:rPr>
          <w:rFonts w:eastAsia="Times New Roman" w:cstheme="minorHAnsi"/>
          <w:sz w:val="24"/>
          <w:szCs w:val="24"/>
        </w:rPr>
        <w:t>,</w:t>
      </w:r>
      <w:r>
        <w:rPr>
          <w:rFonts w:eastAsia="Times New Roman" w:cstheme="minorHAnsi"/>
          <w:sz w:val="24"/>
          <w:szCs w:val="24"/>
        </w:rPr>
        <w:t xml:space="preserve"> με βάση τον κύκλο εργασιών και τον αριθμό εργαζομένων</w:t>
      </w:r>
      <w:r w:rsidR="008914DB">
        <w:rPr>
          <w:rFonts w:eastAsia="Times New Roman" w:cstheme="minorHAnsi"/>
          <w:sz w:val="24"/>
          <w:szCs w:val="24"/>
        </w:rPr>
        <w:t>,</w:t>
      </w:r>
      <w:r>
        <w:rPr>
          <w:rFonts w:eastAsia="Times New Roman" w:cstheme="minorHAnsi"/>
          <w:sz w:val="24"/>
          <w:szCs w:val="24"/>
        </w:rPr>
        <w:t xml:space="preserve"> επιχειρήσεις. </w:t>
      </w:r>
    </w:p>
    <w:p w:rsidR="00CC423E" w:rsidRPr="00ED61E5" w:rsidRDefault="00CC423E" w:rsidP="00700BFC">
      <w:pPr>
        <w:spacing w:after="0" w:line="360" w:lineRule="auto"/>
        <w:jc w:val="both"/>
        <w:rPr>
          <w:rFonts w:eastAsia="Times New Roman" w:cstheme="minorHAnsi"/>
          <w:sz w:val="24"/>
          <w:szCs w:val="24"/>
        </w:rPr>
      </w:pPr>
    </w:p>
    <w:tbl>
      <w:tblPr>
        <w:tblW w:w="5000" w:type="pct"/>
        <w:tblLook w:val="04A0" w:firstRow="1" w:lastRow="0" w:firstColumn="1" w:lastColumn="0" w:noHBand="0" w:noVBand="1"/>
      </w:tblPr>
      <w:tblGrid>
        <w:gridCol w:w="1331"/>
        <w:gridCol w:w="1126"/>
        <w:gridCol w:w="1229"/>
        <w:gridCol w:w="1041"/>
        <w:gridCol w:w="762"/>
        <w:gridCol w:w="854"/>
        <w:gridCol w:w="882"/>
        <w:gridCol w:w="1011"/>
        <w:gridCol w:w="998"/>
        <w:gridCol w:w="1218"/>
        <w:gridCol w:w="253"/>
      </w:tblGrid>
      <w:tr w:rsidR="00CC423E" w:rsidRPr="00ED61E5" w:rsidTr="005A25E4">
        <w:trPr>
          <w:trHeight w:val="300"/>
        </w:trPr>
        <w:tc>
          <w:tcPr>
            <w:tcW w:w="4881" w:type="pct"/>
            <w:gridSpan w:val="10"/>
            <w:tcBorders>
              <w:top w:val="single" w:sz="4" w:space="0" w:color="auto"/>
              <w:left w:val="single" w:sz="4" w:space="0" w:color="auto"/>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lastRenderedPageBreak/>
              <w:t xml:space="preserve">ΠΙΝΑΚΑΣ </w:t>
            </w:r>
            <w:r w:rsidR="00AC6997" w:rsidRPr="00AC6997">
              <w:rPr>
                <w:rFonts w:ascii="Calibri" w:eastAsia="Times New Roman" w:hAnsi="Calibri" w:cs="Calibri"/>
                <w:b/>
                <w:bCs/>
                <w:color w:val="000000"/>
                <w:sz w:val="24"/>
                <w:szCs w:val="24"/>
              </w:rPr>
              <w:t>10</w:t>
            </w:r>
          </w:p>
          <w:p w:rsidR="00CC423E" w:rsidRPr="00ED61E5" w:rsidRDefault="00CC423E" w:rsidP="00700BFC">
            <w:pPr>
              <w:spacing w:after="0" w:line="240" w:lineRule="auto"/>
              <w:jc w:val="center"/>
              <w:rPr>
                <w:rFonts w:ascii="Calibri" w:eastAsia="Times New Roman" w:hAnsi="Calibri" w:cs="Calibri"/>
                <w:b/>
                <w:bCs/>
                <w:color w:val="000000"/>
                <w:sz w:val="24"/>
                <w:szCs w:val="24"/>
              </w:rPr>
            </w:pPr>
            <w:r w:rsidRPr="00ED61E5">
              <w:rPr>
                <w:rFonts w:ascii="Calibri" w:eastAsia="Times New Roman" w:hAnsi="Calibri" w:cs="Calibri"/>
                <w:b/>
                <w:bCs/>
                <w:color w:val="000000"/>
                <w:sz w:val="24"/>
                <w:szCs w:val="24"/>
              </w:rPr>
              <w:t>Καθυστερημένες οφειλές  ανά κατηγορία οφειλής και επιχειρήσεων το πρώτο εξάμηνο του 2022</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vMerge w:val="restart"/>
            <w:tcBorders>
              <w:top w:val="nil"/>
              <w:left w:val="single" w:sz="4" w:space="0" w:color="auto"/>
              <w:bottom w:val="single" w:sz="4" w:space="0" w:color="auto"/>
              <w:right w:val="single" w:sz="4" w:space="0" w:color="auto"/>
            </w:tcBorders>
            <w:shd w:val="clear" w:color="DCE6F1" w:fill="DCE6F1"/>
            <w:noWrap/>
            <w:vAlign w:val="bottom"/>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 </w:t>
            </w:r>
          </w:p>
        </w:tc>
        <w:tc>
          <w:tcPr>
            <w:tcW w:w="1586" w:type="pct"/>
            <w:gridSpan w:val="3"/>
            <w:tcBorders>
              <w:top w:val="single" w:sz="4" w:space="0" w:color="auto"/>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ΚΛΑΔΟΣ</w:t>
            </w:r>
          </w:p>
        </w:tc>
        <w:tc>
          <w:tcPr>
            <w:tcW w:w="2674" w:type="pct"/>
            <w:gridSpan w:val="6"/>
            <w:tcBorders>
              <w:top w:val="single" w:sz="4" w:space="0" w:color="auto"/>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ΕΤΗΣΙΟΣ ΚΥΚΛΟΣ ΕΡΓΑΣΙΩΝ</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1200"/>
        </w:trPr>
        <w:tc>
          <w:tcPr>
            <w:tcW w:w="622" w:type="pct"/>
            <w:vMerge/>
            <w:tcBorders>
              <w:top w:val="nil"/>
              <w:left w:val="single" w:sz="4" w:space="0" w:color="auto"/>
              <w:bottom w:val="single" w:sz="4" w:space="0" w:color="auto"/>
              <w:right w:val="single" w:sz="4" w:space="0" w:color="auto"/>
            </w:tcBorders>
            <w:vAlign w:val="center"/>
            <w:hideMark/>
          </w:tcPr>
          <w:p w:rsidR="00CC423E" w:rsidRPr="00ED61E5" w:rsidRDefault="00CC423E" w:rsidP="00700BFC">
            <w:pPr>
              <w:spacing w:after="0" w:line="240" w:lineRule="auto"/>
              <w:rPr>
                <w:rFonts w:ascii="Calibri" w:eastAsia="Times New Roman" w:hAnsi="Calibri" w:cs="Calibri"/>
                <w:b/>
                <w:bCs/>
                <w:color w:val="000000"/>
                <w:sz w:val="16"/>
                <w:szCs w:val="16"/>
              </w:rPr>
            </w:pPr>
          </w:p>
        </w:tc>
        <w:tc>
          <w:tcPr>
            <w:tcW w:w="52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Εμπόριο</w:t>
            </w:r>
          </w:p>
        </w:tc>
        <w:tc>
          <w:tcPr>
            <w:tcW w:w="574"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Μεταποίηση</w:t>
            </w:r>
          </w:p>
        </w:tc>
        <w:tc>
          <w:tcPr>
            <w:tcW w:w="48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Υπηρεσίες</w:t>
            </w:r>
          </w:p>
        </w:tc>
        <w:tc>
          <w:tcPr>
            <w:tcW w:w="35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Έως 50.000 €</w:t>
            </w:r>
          </w:p>
        </w:tc>
        <w:tc>
          <w:tcPr>
            <w:tcW w:w="399"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50.000 - 100.000 €</w:t>
            </w:r>
          </w:p>
        </w:tc>
        <w:tc>
          <w:tcPr>
            <w:tcW w:w="412"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100.001 - 300.000 €</w:t>
            </w:r>
          </w:p>
        </w:tc>
        <w:tc>
          <w:tcPr>
            <w:tcW w:w="472"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300.001 - 500.000 €</w:t>
            </w:r>
          </w:p>
        </w:tc>
        <w:tc>
          <w:tcPr>
            <w:tcW w:w="46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500.001 - 1.000.000 €</w:t>
            </w:r>
          </w:p>
        </w:tc>
        <w:tc>
          <w:tcPr>
            <w:tcW w:w="569"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Πάνω από 1.000.000 €</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ενοίκιο</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10,4%</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10,9%</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12,3%</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14,6%</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8,2%</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8,7%</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12,1%</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τράπεζες</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8,4%</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13,5%</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10,0%</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11,2%</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13,4%</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5,8%</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16,7%</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6,1%</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8,6%</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λογαριασμούς ενέργειες (πχ ΔΕΗ, φυσικό αέριο)</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16,1%</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16,6%</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19,4%</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23,2%</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12,7%</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15,9%</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8,3%</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6,1%</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λοιπούς λογαριασμούς (τηλέφωνο, ύδρευση)</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7,0%</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7,8%</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11,3%</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13,7%</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7,5%</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3,6%</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0,0%</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προμηθευτές</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18,1%</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20,7%</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11,0%</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16,2%</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16,4%</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12,3%</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16,7%</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30,3%</w:t>
            </w:r>
          </w:p>
        </w:tc>
        <w:tc>
          <w:tcPr>
            <w:tcW w:w="56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17,1%</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 πρώην ΙΚΑ</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3,7%</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9,3%</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9,4%</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7,0%</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9,7%</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8,0%</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6,1%</w:t>
            </w:r>
          </w:p>
        </w:tc>
        <w:tc>
          <w:tcPr>
            <w:tcW w:w="56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Στην εφορία</w:t>
            </w:r>
          </w:p>
        </w:tc>
        <w:tc>
          <w:tcPr>
            <w:tcW w:w="52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15,1%</w:t>
            </w:r>
          </w:p>
        </w:tc>
        <w:tc>
          <w:tcPr>
            <w:tcW w:w="574"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15,5%</w:t>
            </w:r>
          </w:p>
        </w:tc>
        <w:tc>
          <w:tcPr>
            <w:tcW w:w="48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16,8%</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21,0%</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17,2%</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10,1%</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w:t>
            </w:r>
          </w:p>
        </w:tc>
        <w:tc>
          <w:tcPr>
            <w:tcW w:w="56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5,7%</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Στον πρώην ΟΑΕΕ</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19,7%</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17,6%</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19,1%</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26,3%</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17,9%</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13,8%</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5,6%</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0,0%</w:t>
            </w:r>
          </w:p>
        </w:tc>
        <w:tc>
          <w:tcPr>
            <w:tcW w:w="56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8,6%</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600"/>
        </w:trPr>
        <w:tc>
          <w:tcPr>
            <w:tcW w:w="622" w:type="pct"/>
            <w:vMerge w:val="restart"/>
            <w:tcBorders>
              <w:top w:val="nil"/>
              <w:left w:val="single" w:sz="4" w:space="0" w:color="auto"/>
              <w:bottom w:val="single" w:sz="4" w:space="0" w:color="000000"/>
              <w:right w:val="single" w:sz="4" w:space="0" w:color="auto"/>
            </w:tcBorders>
            <w:shd w:val="clear" w:color="DCE6F1" w:fill="DCE6F1"/>
            <w:noWrap/>
            <w:vAlign w:val="bottom"/>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 </w:t>
            </w:r>
          </w:p>
        </w:tc>
        <w:tc>
          <w:tcPr>
            <w:tcW w:w="1941" w:type="pct"/>
            <w:gridSpan w:val="4"/>
            <w:tcBorders>
              <w:top w:val="single" w:sz="4" w:space="0" w:color="auto"/>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ΑΡΙΘΜΟΣ ΕΡΓΑΖΟΜΕΝΩΝ</w:t>
            </w:r>
          </w:p>
        </w:tc>
        <w:tc>
          <w:tcPr>
            <w:tcW w:w="1749" w:type="pct"/>
            <w:gridSpan w:val="4"/>
            <w:tcBorders>
              <w:top w:val="single" w:sz="4" w:space="0" w:color="auto"/>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ΓΕΩΓΡΑΦΙΚΗ ΠΕΡΙΟΧΗ</w:t>
            </w:r>
          </w:p>
        </w:tc>
        <w:tc>
          <w:tcPr>
            <w:tcW w:w="569"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ΥΠΟΚΛΑΔΟΣ</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1200"/>
        </w:trPr>
        <w:tc>
          <w:tcPr>
            <w:tcW w:w="622" w:type="pct"/>
            <w:vMerge/>
            <w:tcBorders>
              <w:top w:val="nil"/>
              <w:left w:val="single" w:sz="4" w:space="0" w:color="auto"/>
              <w:bottom w:val="single" w:sz="4" w:space="0" w:color="000000"/>
              <w:right w:val="single" w:sz="4" w:space="0" w:color="auto"/>
            </w:tcBorders>
            <w:vAlign w:val="center"/>
            <w:hideMark/>
          </w:tcPr>
          <w:p w:rsidR="00CC423E" w:rsidRPr="00ED61E5" w:rsidRDefault="00CC423E" w:rsidP="00700BFC">
            <w:pPr>
              <w:spacing w:after="0" w:line="240" w:lineRule="auto"/>
              <w:rPr>
                <w:rFonts w:ascii="Calibri" w:eastAsia="Times New Roman" w:hAnsi="Calibri" w:cs="Calibri"/>
                <w:b/>
                <w:bCs/>
                <w:color w:val="000000"/>
                <w:sz w:val="16"/>
                <w:szCs w:val="16"/>
              </w:rPr>
            </w:pPr>
          </w:p>
        </w:tc>
        <w:tc>
          <w:tcPr>
            <w:tcW w:w="52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Χωρίς προσωπικό</w:t>
            </w:r>
          </w:p>
        </w:tc>
        <w:tc>
          <w:tcPr>
            <w:tcW w:w="574"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1 έως 4</w:t>
            </w:r>
          </w:p>
        </w:tc>
        <w:tc>
          <w:tcPr>
            <w:tcW w:w="48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5 έως 9</w:t>
            </w:r>
          </w:p>
        </w:tc>
        <w:tc>
          <w:tcPr>
            <w:tcW w:w="35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10 έως 49</w:t>
            </w:r>
          </w:p>
        </w:tc>
        <w:tc>
          <w:tcPr>
            <w:tcW w:w="399"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EL3 ΑΤΤΙΚΗ</w:t>
            </w:r>
          </w:p>
        </w:tc>
        <w:tc>
          <w:tcPr>
            <w:tcW w:w="412"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EL5 ΒΟΡΕΙΑ ΕΛΛΑΔΑ</w:t>
            </w:r>
          </w:p>
        </w:tc>
        <w:tc>
          <w:tcPr>
            <w:tcW w:w="472"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EL6 ΚΕΝΤΡΙΚΗ ΕΛΛΑΔΑ</w:t>
            </w:r>
          </w:p>
        </w:tc>
        <w:tc>
          <w:tcPr>
            <w:tcW w:w="466"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EL4 ΝΗΣΙΑ ΑΙΓΑΙΟΥ &amp; ΚΡΗΤΗ</w:t>
            </w:r>
          </w:p>
        </w:tc>
        <w:tc>
          <w:tcPr>
            <w:tcW w:w="569" w:type="pct"/>
            <w:tcBorders>
              <w:top w:val="nil"/>
              <w:left w:val="nil"/>
              <w:bottom w:val="single" w:sz="4" w:space="0" w:color="auto"/>
              <w:right w:val="single" w:sz="4" w:space="0" w:color="auto"/>
            </w:tcBorders>
            <w:shd w:val="clear" w:color="DCE6F1" w:fill="DCE6F1"/>
            <w:vAlign w:val="center"/>
            <w:hideMark/>
          </w:tcPr>
          <w:p w:rsidR="00CC423E" w:rsidRPr="00ED61E5" w:rsidRDefault="00CC423E" w:rsidP="00700BFC">
            <w:pPr>
              <w:spacing w:after="0" w:line="240" w:lineRule="auto"/>
              <w:jc w:val="center"/>
              <w:rPr>
                <w:rFonts w:ascii="Calibri" w:eastAsia="Times New Roman" w:hAnsi="Calibri" w:cs="Calibri"/>
                <w:b/>
                <w:bCs/>
                <w:color w:val="000000"/>
                <w:sz w:val="16"/>
                <w:szCs w:val="16"/>
              </w:rPr>
            </w:pPr>
            <w:r w:rsidRPr="00ED61E5">
              <w:rPr>
                <w:rFonts w:ascii="Calibri" w:eastAsia="Times New Roman" w:hAnsi="Calibri" w:cs="Calibri"/>
                <w:b/>
                <w:bCs/>
                <w:color w:val="000000"/>
                <w:sz w:val="16"/>
                <w:szCs w:val="16"/>
              </w:rPr>
              <w:t>Εστίαση</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ενοίκιο</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14,4%</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10,7%</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5,0%</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7,7%</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12,0%</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9,7%</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12,7%</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9,6%</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21,9%</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τράπεζες</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11,2%</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10,7%</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7,9%</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7,7%</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7,9%</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10,6%</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14,3%</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8,7%</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15,1%</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λογαριασμούς ενέργειες (πχ ΔΕΗ, φυσικό αέριο)</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21,9%</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17,4%</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9,9%</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7,7%</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19,6%</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17,1%</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16,9%</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13,5%</w:t>
            </w:r>
          </w:p>
        </w:tc>
        <w:tc>
          <w:tcPr>
            <w:tcW w:w="56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34,2%</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6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λοιπούς λογαριασμούς (τηλέφωνο, ύδρευση)</w:t>
            </w:r>
          </w:p>
        </w:tc>
        <w:tc>
          <w:tcPr>
            <w:tcW w:w="52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13,3%</w:t>
            </w:r>
          </w:p>
        </w:tc>
        <w:tc>
          <w:tcPr>
            <w:tcW w:w="574"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7,4%</w:t>
            </w:r>
          </w:p>
        </w:tc>
        <w:tc>
          <w:tcPr>
            <w:tcW w:w="48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5,9%</w:t>
            </w:r>
          </w:p>
        </w:tc>
        <w:tc>
          <w:tcPr>
            <w:tcW w:w="35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w:t>
            </w:r>
          </w:p>
        </w:tc>
        <w:tc>
          <w:tcPr>
            <w:tcW w:w="39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7,2%</w:t>
            </w:r>
          </w:p>
        </w:tc>
        <w:tc>
          <w:tcPr>
            <w:tcW w:w="41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11,5%</w:t>
            </w:r>
          </w:p>
        </w:tc>
        <w:tc>
          <w:tcPr>
            <w:tcW w:w="472"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7,9%</w:t>
            </w:r>
          </w:p>
        </w:tc>
        <w:tc>
          <w:tcPr>
            <w:tcW w:w="466"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9,6%</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17,8%</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Σε προμηθευτές</w:t>
            </w:r>
          </w:p>
        </w:tc>
        <w:tc>
          <w:tcPr>
            <w:tcW w:w="52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19,4%</w:t>
            </w:r>
          </w:p>
        </w:tc>
        <w:tc>
          <w:tcPr>
            <w:tcW w:w="574"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12,9%</w:t>
            </w:r>
          </w:p>
        </w:tc>
        <w:tc>
          <w:tcPr>
            <w:tcW w:w="48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16,8%</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17,3%</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16,5%</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15,7%</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16,9%</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13,5%</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19,2%</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 πρώην ΙΚΑ</w:t>
            </w:r>
          </w:p>
        </w:tc>
        <w:tc>
          <w:tcPr>
            <w:tcW w:w="52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3,2%</w:t>
            </w:r>
          </w:p>
        </w:tc>
        <w:tc>
          <w:tcPr>
            <w:tcW w:w="574"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8,8%</w:t>
            </w:r>
          </w:p>
        </w:tc>
        <w:tc>
          <w:tcPr>
            <w:tcW w:w="48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13,9%</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5,8%</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8,2%</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8,3%</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5,8%</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4,8%</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17,8%</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Στην εφορία</w:t>
            </w:r>
          </w:p>
        </w:tc>
        <w:tc>
          <w:tcPr>
            <w:tcW w:w="52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21,6%</w:t>
            </w:r>
          </w:p>
        </w:tc>
        <w:tc>
          <w:tcPr>
            <w:tcW w:w="574"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14,6%</w:t>
            </w:r>
          </w:p>
        </w:tc>
        <w:tc>
          <w:tcPr>
            <w:tcW w:w="48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10,9%</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3,8%</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17,2%</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15,2%</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16,9%</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11,5%</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28,8%</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r w:rsidR="00CC423E" w:rsidRPr="00ED61E5" w:rsidTr="005A25E4">
        <w:trPr>
          <w:trHeight w:val="30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r w:rsidRPr="00ED61E5">
              <w:rPr>
                <w:rFonts w:ascii="Calibri" w:eastAsia="Times New Roman" w:hAnsi="Calibri" w:cs="Calibri"/>
                <w:color w:val="000000"/>
                <w:sz w:val="16"/>
                <w:szCs w:val="16"/>
              </w:rPr>
              <w:t>Στον πρώην ΟΑΕΕ</w:t>
            </w:r>
          </w:p>
        </w:tc>
        <w:tc>
          <w:tcPr>
            <w:tcW w:w="52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29,5%</w:t>
            </w:r>
          </w:p>
        </w:tc>
        <w:tc>
          <w:tcPr>
            <w:tcW w:w="574"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14,6%</w:t>
            </w:r>
          </w:p>
        </w:tc>
        <w:tc>
          <w:tcPr>
            <w:tcW w:w="48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13,9%</w:t>
            </w:r>
          </w:p>
        </w:tc>
        <w:tc>
          <w:tcPr>
            <w:tcW w:w="35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3,8%</w:t>
            </w:r>
          </w:p>
        </w:tc>
        <w:tc>
          <w:tcPr>
            <w:tcW w:w="399"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18,9%</w:t>
            </w:r>
          </w:p>
        </w:tc>
        <w:tc>
          <w:tcPr>
            <w:tcW w:w="41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17,5%</w:t>
            </w:r>
          </w:p>
        </w:tc>
        <w:tc>
          <w:tcPr>
            <w:tcW w:w="472"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19,6%</w:t>
            </w:r>
          </w:p>
        </w:tc>
        <w:tc>
          <w:tcPr>
            <w:tcW w:w="466" w:type="pct"/>
            <w:tcBorders>
              <w:top w:val="nil"/>
              <w:left w:val="nil"/>
              <w:bottom w:val="single" w:sz="4" w:space="0" w:color="auto"/>
              <w:right w:val="single" w:sz="4" w:space="0" w:color="auto"/>
            </w:tcBorders>
            <w:shd w:val="clear" w:color="auto" w:fill="auto"/>
            <w:noWrap/>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21,2%</w:t>
            </w:r>
          </w:p>
        </w:tc>
        <w:tc>
          <w:tcPr>
            <w:tcW w:w="569" w:type="pct"/>
            <w:tcBorders>
              <w:top w:val="nil"/>
              <w:left w:val="nil"/>
              <w:bottom w:val="single" w:sz="4" w:space="0" w:color="auto"/>
              <w:right w:val="single" w:sz="4" w:space="0" w:color="auto"/>
            </w:tcBorders>
            <w:shd w:val="clear" w:color="auto" w:fill="auto"/>
            <w:vAlign w:val="center"/>
            <w:hideMark/>
          </w:tcPr>
          <w:p w:rsidR="00CC423E" w:rsidRPr="00ED61E5" w:rsidRDefault="00CC423E" w:rsidP="00700BFC">
            <w:pPr>
              <w:spacing w:after="0" w:line="240" w:lineRule="auto"/>
              <w:jc w:val="center"/>
              <w:rPr>
                <w:rFonts w:ascii="Calibri" w:eastAsia="Times New Roman" w:hAnsi="Calibri" w:cs="Calibri"/>
                <w:color w:val="000000"/>
                <w:sz w:val="16"/>
                <w:szCs w:val="16"/>
              </w:rPr>
            </w:pPr>
            <w:r w:rsidRPr="00ED61E5">
              <w:rPr>
                <w:rFonts w:ascii="Calibri" w:eastAsia="Times New Roman" w:hAnsi="Calibri" w:cs="Calibri"/>
                <w:color w:val="000000"/>
                <w:sz w:val="16"/>
                <w:szCs w:val="16"/>
              </w:rPr>
              <w:t>30,1%</w:t>
            </w:r>
          </w:p>
        </w:tc>
        <w:tc>
          <w:tcPr>
            <w:tcW w:w="119" w:type="pct"/>
            <w:tcBorders>
              <w:top w:val="nil"/>
              <w:left w:val="nil"/>
              <w:bottom w:val="nil"/>
              <w:right w:val="nil"/>
            </w:tcBorders>
            <w:shd w:val="clear" w:color="auto" w:fill="auto"/>
            <w:noWrap/>
            <w:vAlign w:val="bottom"/>
            <w:hideMark/>
          </w:tcPr>
          <w:p w:rsidR="00CC423E" w:rsidRPr="00ED61E5" w:rsidRDefault="00CC423E" w:rsidP="00700BFC">
            <w:pPr>
              <w:spacing w:after="0" w:line="240" w:lineRule="auto"/>
              <w:rPr>
                <w:rFonts w:ascii="Calibri" w:eastAsia="Times New Roman" w:hAnsi="Calibri" w:cs="Calibri"/>
                <w:color w:val="000000"/>
                <w:sz w:val="16"/>
                <w:szCs w:val="16"/>
              </w:rPr>
            </w:pPr>
          </w:p>
        </w:tc>
      </w:tr>
    </w:tbl>
    <w:p w:rsidR="00CC423E" w:rsidRPr="00ED61E5" w:rsidRDefault="00CC423E" w:rsidP="00700BFC">
      <w:pPr>
        <w:spacing w:after="0" w:line="360" w:lineRule="auto"/>
        <w:jc w:val="both"/>
        <w:rPr>
          <w:rFonts w:eastAsia="Times New Roman" w:cstheme="minorHAnsi"/>
          <w:sz w:val="24"/>
          <w:szCs w:val="24"/>
        </w:rPr>
      </w:pPr>
    </w:p>
    <w:p w:rsidR="00CC423E" w:rsidRDefault="00CC423E" w:rsidP="00700BFC">
      <w:pPr>
        <w:spacing w:after="0" w:line="360" w:lineRule="auto"/>
        <w:jc w:val="both"/>
        <w:rPr>
          <w:rFonts w:eastAsia="Times New Roman" w:cstheme="minorHAnsi"/>
          <w:sz w:val="24"/>
          <w:szCs w:val="24"/>
        </w:rPr>
      </w:pPr>
      <w:r>
        <w:rPr>
          <w:rFonts w:eastAsia="Times New Roman" w:cstheme="minorHAnsi"/>
          <w:sz w:val="24"/>
          <w:szCs w:val="24"/>
        </w:rPr>
        <w:t xml:space="preserve">Όσον αφορά το συνολικό ύψος των οφειλών των επιχειρήσεων που έχουν καθυστερημένες υποχρεώσεις με βάση τα ευρήματα της έρευνας διαμορφώνεται ως εξής (Γράφημα </w:t>
      </w:r>
      <w:r w:rsidR="003401D3">
        <w:rPr>
          <w:rFonts w:eastAsia="Times New Roman" w:cstheme="minorHAnsi"/>
          <w:sz w:val="24"/>
          <w:szCs w:val="24"/>
        </w:rPr>
        <w:t>26</w:t>
      </w:r>
      <w:r>
        <w:rPr>
          <w:rFonts w:eastAsia="Times New Roman" w:cstheme="minorHAnsi"/>
          <w:sz w:val="24"/>
          <w:szCs w:val="24"/>
        </w:rPr>
        <w:t>):</w:t>
      </w:r>
    </w:p>
    <w:p w:rsidR="00CC423E" w:rsidRDefault="00CC423E" w:rsidP="00700BFC">
      <w:pPr>
        <w:pStyle w:val="a3"/>
        <w:numPr>
          <w:ilvl w:val="0"/>
          <w:numId w:val="8"/>
        </w:numPr>
        <w:spacing w:after="0" w:line="360" w:lineRule="auto"/>
        <w:jc w:val="both"/>
        <w:rPr>
          <w:rFonts w:eastAsia="Times New Roman" w:cstheme="minorHAnsi"/>
          <w:sz w:val="24"/>
          <w:szCs w:val="24"/>
        </w:rPr>
      </w:pPr>
      <w:r>
        <w:rPr>
          <w:rFonts w:eastAsia="Times New Roman" w:cstheme="minorHAnsi"/>
          <w:sz w:val="24"/>
          <w:szCs w:val="24"/>
        </w:rPr>
        <w:t>το 30,9% έχει ληξιπρόθεσμες οφειλές έως 5.000€,</w:t>
      </w:r>
    </w:p>
    <w:p w:rsidR="00CC423E" w:rsidRDefault="00CC423E" w:rsidP="00700BFC">
      <w:pPr>
        <w:pStyle w:val="a3"/>
        <w:numPr>
          <w:ilvl w:val="0"/>
          <w:numId w:val="8"/>
        </w:numPr>
        <w:spacing w:after="0" w:line="360" w:lineRule="auto"/>
        <w:jc w:val="both"/>
        <w:rPr>
          <w:rFonts w:eastAsia="Times New Roman" w:cstheme="minorHAnsi"/>
          <w:sz w:val="24"/>
          <w:szCs w:val="24"/>
        </w:rPr>
      </w:pPr>
      <w:r>
        <w:rPr>
          <w:rFonts w:eastAsia="Times New Roman" w:cstheme="minorHAnsi"/>
          <w:sz w:val="24"/>
          <w:szCs w:val="24"/>
        </w:rPr>
        <w:t>το 12,7% έχει ληξιπρόθεσμες οφειλές από 5.001 έως 10.000€,</w:t>
      </w:r>
    </w:p>
    <w:p w:rsidR="00CC423E" w:rsidRDefault="00CC423E" w:rsidP="00700BFC">
      <w:pPr>
        <w:pStyle w:val="a3"/>
        <w:numPr>
          <w:ilvl w:val="0"/>
          <w:numId w:val="8"/>
        </w:numPr>
        <w:spacing w:after="0" w:line="360" w:lineRule="auto"/>
        <w:jc w:val="both"/>
        <w:rPr>
          <w:rFonts w:eastAsia="Times New Roman" w:cstheme="minorHAnsi"/>
          <w:sz w:val="24"/>
          <w:szCs w:val="24"/>
        </w:rPr>
      </w:pPr>
      <w:r w:rsidRPr="00A13E4D">
        <w:rPr>
          <w:rFonts w:eastAsia="Times New Roman" w:cstheme="minorHAnsi"/>
          <w:sz w:val="24"/>
          <w:szCs w:val="24"/>
        </w:rPr>
        <w:lastRenderedPageBreak/>
        <w:t xml:space="preserve">το 12,7% έχει ληξιπρόθεσμες οφειλές από </w:t>
      </w:r>
      <w:r>
        <w:rPr>
          <w:rFonts w:eastAsia="Times New Roman" w:cstheme="minorHAnsi"/>
          <w:sz w:val="24"/>
          <w:szCs w:val="24"/>
        </w:rPr>
        <w:t>10</w:t>
      </w:r>
      <w:r w:rsidRPr="00A13E4D">
        <w:rPr>
          <w:rFonts w:eastAsia="Times New Roman" w:cstheme="minorHAnsi"/>
          <w:sz w:val="24"/>
          <w:szCs w:val="24"/>
        </w:rPr>
        <w:t xml:space="preserve">.001 έως </w:t>
      </w:r>
      <w:r>
        <w:rPr>
          <w:rFonts w:eastAsia="Times New Roman" w:cstheme="minorHAnsi"/>
          <w:sz w:val="24"/>
          <w:szCs w:val="24"/>
        </w:rPr>
        <w:t>2</w:t>
      </w:r>
      <w:r w:rsidRPr="00A13E4D">
        <w:rPr>
          <w:rFonts w:eastAsia="Times New Roman" w:cstheme="minorHAnsi"/>
          <w:sz w:val="24"/>
          <w:szCs w:val="24"/>
        </w:rPr>
        <w:t>0.000€</w:t>
      </w:r>
      <w:r>
        <w:rPr>
          <w:rFonts w:eastAsia="Times New Roman" w:cstheme="minorHAnsi"/>
          <w:sz w:val="24"/>
          <w:szCs w:val="24"/>
        </w:rPr>
        <w:t>,</w:t>
      </w:r>
    </w:p>
    <w:p w:rsidR="00CC423E" w:rsidRPr="00A13E4D" w:rsidRDefault="00CC423E" w:rsidP="00700BFC">
      <w:pPr>
        <w:pStyle w:val="a3"/>
        <w:numPr>
          <w:ilvl w:val="0"/>
          <w:numId w:val="8"/>
        </w:numPr>
        <w:spacing w:after="0" w:line="360" w:lineRule="auto"/>
        <w:rPr>
          <w:rFonts w:eastAsia="Times New Roman" w:cstheme="minorHAnsi"/>
          <w:sz w:val="24"/>
          <w:szCs w:val="24"/>
        </w:rPr>
      </w:pPr>
      <w:r w:rsidRPr="00A13E4D">
        <w:rPr>
          <w:rFonts w:eastAsia="Times New Roman" w:cstheme="minorHAnsi"/>
          <w:sz w:val="24"/>
          <w:szCs w:val="24"/>
        </w:rPr>
        <w:t xml:space="preserve">το </w:t>
      </w:r>
      <w:r>
        <w:rPr>
          <w:rFonts w:eastAsia="Times New Roman" w:cstheme="minorHAnsi"/>
          <w:sz w:val="24"/>
          <w:szCs w:val="24"/>
        </w:rPr>
        <w:t>12,1</w:t>
      </w:r>
      <w:r w:rsidRPr="00A13E4D">
        <w:rPr>
          <w:rFonts w:eastAsia="Times New Roman" w:cstheme="minorHAnsi"/>
          <w:sz w:val="24"/>
          <w:szCs w:val="24"/>
        </w:rPr>
        <w:t xml:space="preserve">% έχει ληξιπρόθεσμες οφειλές από </w:t>
      </w:r>
      <w:r>
        <w:rPr>
          <w:rFonts w:eastAsia="Times New Roman" w:cstheme="minorHAnsi"/>
          <w:sz w:val="24"/>
          <w:szCs w:val="24"/>
        </w:rPr>
        <w:t>2</w:t>
      </w:r>
      <w:r w:rsidRPr="00A13E4D">
        <w:rPr>
          <w:rFonts w:eastAsia="Times New Roman" w:cstheme="minorHAnsi"/>
          <w:sz w:val="24"/>
          <w:szCs w:val="24"/>
        </w:rPr>
        <w:t xml:space="preserve">0.001 έως </w:t>
      </w:r>
      <w:r>
        <w:rPr>
          <w:rFonts w:eastAsia="Times New Roman" w:cstheme="minorHAnsi"/>
          <w:sz w:val="24"/>
          <w:szCs w:val="24"/>
        </w:rPr>
        <w:t>5</w:t>
      </w:r>
      <w:r w:rsidRPr="00A13E4D">
        <w:rPr>
          <w:rFonts w:eastAsia="Times New Roman" w:cstheme="minorHAnsi"/>
          <w:sz w:val="24"/>
          <w:szCs w:val="24"/>
        </w:rPr>
        <w:t>0.000€</w:t>
      </w:r>
      <w:r>
        <w:rPr>
          <w:rFonts w:eastAsia="Times New Roman" w:cstheme="minorHAnsi"/>
          <w:sz w:val="24"/>
          <w:szCs w:val="24"/>
        </w:rPr>
        <w:t>,</w:t>
      </w:r>
    </w:p>
    <w:p w:rsidR="00CC423E" w:rsidRDefault="00CC423E" w:rsidP="00700BFC">
      <w:pPr>
        <w:pStyle w:val="a3"/>
        <w:numPr>
          <w:ilvl w:val="0"/>
          <w:numId w:val="8"/>
        </w:numPr>
        <w:spacing w:after="0" w:line="360" w:lineRule="auto"/>
        <w:jc w:val="both"/>
        <w:rPr>
          <w:rFonts w:eastAsia="Times New Roman" w:cstheme="minorHAnsi"/>
          <w:sz w:val="24"/>
          <w:szCs w:val="24"/>
        </w:rPr>
      </w:pPr>
      <w:r>
        <w:rPr>
          <w:rFonts w:eastAsia="Times New Roman" w:cstheme="minorHAnsi"/>
          <w:sz w:val="24"/>
          <w:szCs w:val="24"/>
        </w:rPr>
        <w:t>το 17% έχει ληξιπρόθεσμες οφειλές πάνω από 50.000€.</w:t>
      </w:r>
    </w:p>
    <w:p w:rsidR="00CC423E" w:rsidRPr="001B2706" w:rsidRDefault="00CC423E" w:rsidP="00700BFC">
      <w:pPr>
        <w:spacing w:after="0" w:line="360" w:lineRule="auto"/>
        <w:jc w:val="both"/>
        <w:rPr>
          <w:rFonts w:eastAsia="Times New Roman" w:cstheme="minorHAnsi"/>
          <w:sz w:val="24"/>
          <w:szCs w:val="24"/>
        </w:rPr>
      </w:pPr>
      <w:r>
        <w:rPr>
          <w:rFonts w:eastAsia="Times New Roman" w:cstheme="minorHAnsi"/>
          <w:sz w:val="24"/>
          <w:szCs w:val="24"/>
        </w:rPr>
        <w:t xml:space="preserve">Από την </w:t>
      </w:r>
      <w:r w:rsidR="00A32C1B">
        <w:rPr>
          <w:rFonts w:eastAsia="Times New Roman" w:cstheme="minorHAnsi"/>
          <w:sz w:val="24"/>
          <w:szCs w:val="24"/>
        </w:rPr>
        <w:t>ανάλυση των στοιχείων της έρευνας</w:t>
      </w:r>
      <w:r>
        <w:rPr>
          <w:rFonts w:eastAsia="Times New Roman" w:cstheme="minorHAnsi"/>
          <w:sz w:val="24"/>
          <w:szCs w:val="24"/>
        </w:rPr>
        <w:t xml:space="preserve"> προέκυψε ότι οι ληξιπρόθεσμες  για  1 στις 2 μικρές και πολύ επιχειρήσεις που έχουν καθυστερημένες υποχρεώσεις  δεν ξεπερνούν τα 15.000€. Αυτό σημαίνει πως η υιοθέτηση ρεαλιστικών ρυθμίσεων μπορεί να οδηγήσει στη διευθέτηση των υποχρεώσεων του μεγαλύτερου μέρους των μικρών και πολύ μικρών επιχειρήσεων που δυσκολεύονται να ανταποκριθούν σε αυτές. </w:t>
      </w:r>
    </w:p>
    <w:p w:rsidR="00CC423E" w:rsidRPr="00ED61E5" w:rsidRDefault="0003191B" w:rsidP="00700BFC">
      <w:pPr>
        <w:spacing w:after="0" w:line="360" w:lineRule="auto"/>
        <w:jc w:val="both"/>
        <w:rPr>
          <w:rFonts w:eastAsia="Times New Roman" w:cstheme="minorHAnsi"/>
          <w:sz w:val="24"/>
          <w:szCs w:val="24"/>
        </w:rPr>
      </w:pPr>
      <w:r>
        <w:rPr>
          <w:noProof/>
        </w:rPr>
        <w:drawing>
          <wp:inline distT="0" distB="0" distL="0" distR="0" wp14:anchorId="25A65270" wp14:editId="78B546E9">
            <wp:extent cx="6667500" cy="2838450"/>
            <wp:effectExtent l="0" t="0" r="19050" b="19050"/>
            <wp:docPr id="57" name="Γράφημα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423E" w:rsidRPr="00ED61E5" w:rsidRDefault="00CC423E" w:rsidP="00700BFC">
      <w:pPr>
        <w:spacing w:after="0" w:line="360" w:lineRule="auto"/>
        <w:jc w:val="both"/>
        <w:rPr>
          <w:rFonts w:eastAsia="Times New Roman" w:cstheme="minorHAnsi"/>
          <w:sz w:val="24"/>
          <w:szCs w:val="24"/>
        </w:rPr>
      </w:pPr>
    </w:p>
    <w:p w:rsidR="00CC423E" w:rsidRDefault="00CC423E" w:rsidP="00700BFC">
      <w:pPr>
        <w:spacing w:after="0" w:line="360" w:lineRule="auto"/>
        <w:jc w:val="both"/>
        <w:rPr>
          <w:rFonts w:eastAsia="Times New Roman" w:cstheme="minorHAnsi"/>
          <w:sz w:val="24"/>
          <w:szCs w:val="24"/>
          <w:highlight w:val="yellow"/>
        </w:rPr>
      </w:pPr>
    </w:p>
    <w:p w:rsidR="00CC423E" w:rsidRDefault="00CC423E" w:rsidP="00700BFC">
      <w:pPr>
        <w:spacing w:after="0" w:line="360" w:lineRule="auto"/>
        <w:jc w:val="both"/>
        <w:rPr>
          <w:rFonts w:eastAsia="Times New Roman" w:cstheme="minorHAnsi"/>
          <w:sz w:val="24"/>
          <w:szCs w:val="24"/>
          <w:highlight w:val="yellow"/>
        </w:rPr>
      </w:pPr>
    </w:p>
    <w:p w:rsidR="00122982" w:rsidRDefault="00122982"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1B2706" w:rsidRDefault="001B2706" w:rsidP="00700BFC">
      <w:pPr>
        <w:spacing w:after="0" w:line="360" w:lineRule="auto"/>
        <w:jc w:val="both"/>
        <w:rPr>
          <w:b/>
          <w:sz w:val="24"/>
          <w:szCs w:val="24"/>
          <w:u w:val="single"/>
          <w:lang w:val="en-US"/>
        </w:rPr>
      </w:pPr>
    </w:p>
    <w:p w:rsidR="00B36044" w:rsidRPr="001B2706" w:rsidRDefault="00B36044" w:rsidP="00700BFC">
      <w:pPr>
        <w:spacing w:after="0" w:line="360" w:lineRule="auto"/>
        <w:jc w:val="both"/>
        <w:rPr>
          <w:b/>
          <w:sz w:val="24"/>
          <w:szCs w:val="24"/>
          <w:u w:val="single"/>
          <w:lang w:val="en-US"/>
        </w:rPr>
      </w:pPr>
    </w:p>
    <w:p w:rsidR="0071365A" w:rsidRPr="0045324D" w:rsidRDefault="0071365A" w:rsidP="00700BFC">
      <w:pPr>
        <w:spacing w:after="0" w:line="360" w:lineRule="auto"/>
        <w:rPr>
          <w:b/>
          <w:sz w:val="28"/>
          <w:szCs w:val="28"/>
        </w:rPr>
      </w:pPr>
      <w:r w:rsidRPr="0071365A">
        <w:rPr>
          <w:b/>
          <w:sz w:val="28"/>
          <w:szCs w:val="28"/>
        </w:rPr>
        <w:lastRenderedPageBreak/>
        <w:t xml:space="preserve">Β) </w:t>
      </w:r>
      <w:r>
        <w:rPr>
          <w:b/>
          <w:sz w:val="28"/>
          <w:szCs w:val="28"/>
        </w:rPr>
        <w:t>ΕΚΤΙΜΗΣΕΙΣ-ΠΡΟΣΔΟΚΙΕΣ ΓΙΑ ΤΟ ΔΕΥΤΕΡΟ ΕΞΑΜΗΝΟ ΤΟΥ</w:t>
      </w:r>
      <w:r w:rsidR="00EC407A" w:rsidRPr="0071365A">
        <w:rPr>
          <w:b/>
          <w:sz w:val="28"/>
          <w:szCs w:val="28"/>
        </w:rPr>
        <w:t xml:space="preserve"> 2022</w:t>
      </w:r>
    </w:p>
    <w:p w:rsidR="001B2706" w:rsidRPr="0045324D" w:rsidRDefault="001B2706" w:rsidP="00700BFC">
      <w:pPr>
        <w:spacing w:after="0" w:line="360" w:lineRule="auto"/>
        <w:rPr>
          <w:b/>
          <w:sz w:val="28"/>
          <w:szCs w:val="28"/>
        </w:rPr>
      </w:pPr>
    </w:p>
    <w:p w:rsidR="00EC407A" w:rsidRPr="001B2706" w:rsidRDefault="00EC407A" w:rsidP="00700BFC">
      <w:pPr>
        <w:numPr>
          <w:ilvl w:val="0"/>
          <w:numId w:val="4"/>
        </w:numPr>
        <w:spacing w:after="0" w:line="360" w:lineRule="auto"/>
        <w:contextualSpacing/>
        <w:rPr>
          <w:b/>
          <w:sz w:val="24"/>
          <w:szCs w:val="24"/>
          <w:u w:val="single"/>
        </w:rPr>
      </w:pPr>
      <w:r w:rsidRPr="00EC407A">
        <w:rPr>
          <w:b/>
          <w:sz w:val="24"/>
          <w:szCs w:val="24"/>
          <w:u w:val="single"/>
        </w:rPr>
        <w:t>Δείκτης προσδοκιών</w:t>
      </w:r>
    </w:p>
    <w:p w:rsidR="00EC407A" w:rsidRPr="0031121B" w:rsidRDefault="00A32C1B" w:rsidP="00700BFC">
      <w:pPr>
        <w:spacing w:after="0" w:line="360" w:lineRule="auto"/>
        <w:jc w:val="both"/>
        <w:rPr>
          <w:sz w:val="24"/>
          <w:szCs w:val="24"/>
        </w:rPr>
      </w:pPr>
      <w:r>
        <w:rPr>
          <w:sz w:val="24"/>
          <w:szCs w:val="24"/>
        </w:rPr>
        <w:t xml:space="preserve">Ο δείκτης προσδοκιών των </w:t>
      </w:r>
      <w:proofErr w:type="spellStart"/>
      <w:r>
        <w:rPr>
          <w:sz w:val="24"/>
          <w:szCs w:val="24"/>
        </w:rPr>
        <w:t>Μμ</w:t>
      </w:r>
      <w:r w:rsidR="00EC407A" w:rsidRPr="0031121B">
        <w:rPr>
          <w:sz w:val="24"/>
          <w:szCs w:val="24"/>
        </w:rPr>
        <w:t>Ε</w:t>
      </w:r>
      <w:proofErr w:type="spellEnd"/>
      <w:r w:rsidR="00EC407A" w:rsidRPr="0031121B">
        <w:rPr>
          <w:sz w:val="24"/>
          <w:szCs w:val="24"/>
        </w:rPr>
        <w:t xml:space="preserve"> που αποτελείτ</w:t>
      </w:r>
      <w:r w:rsidR="008914DB">
        <w:rPr>
          <w:sz w:val="24"/>
          <w:szCs w:val="24"/>
        </w:rPr>
        <w:t xml:space="preserve">αι από το άθροισμα των θετικών </w:t>
      </w:r>
      <w:r w:rsidR="00EC407A" w:rsidRPr="0031121B">
        <w:rPr>
          <w:sz w:val="24"/>
          <w:szCs w:val="24"/>
        </w:rPr>
        <w:t xml:space="preserve">και σταθερών προσδοκιών συνεχίζει να καταγράφει πολύ χαμηλές τιμές </w:t>
      </w:r>
      <w:r w:rsidR="003401D3" w:rsidRPr="0031121B">
        <w:rPr>
          <w:sz w:val="24"/>
          <w:szCs w:val="24"/>
        </w:rPr>
        <w:t>ευρισκόμενος</w:t>
      </w:r>
      <w:r w:rsidR="00EC407A" w:rsidRPr="0031121B">
        <w:rPr>
          <w:sz w:val="24"/>
          <w:szCs w:val="24"/>
        </w:rPr>
        <w:t xml:space="preserve"> </w:t>
      </w:r>
      <w:r w:rsidR="003401D3">
        <w:rPr>
          <w:sz w:val="24"/>
          <w:szCs w:val="24"/>
        </w:rPr>
        <w:t>στις</w:t>
      </w:r>
      <w:r w:rsidR="00EC407A" w:rsidRPr="0031121B">
        <w:rPr>
          <w:sz w:val="24"/>
          <w:szCs w:val="24"/>
        </w:rPr>
        <w:t xml:space="preserve"> 48</w:t>
      </w:r>
      <w:r w:rsidR="003401D3">
        <w:rPr>
          <w:sz w:val="24"/>
          <w:szCs w:val="24"/>
        </w:rPr>
        <w:t xml:space="preserve"> μονάδες</w:t>
      </w:r>
      <w:r w:rsidR="00EC407A" w:rsidRPr="0031121B">
        <w:rPr>
          <w:sz w:val="24"/>
          <w:szCs w:val="24"/>
        </w:rPr>
        <w:t>,</w:t>
      </w:r>
      <w:r w:rsidR="008914DB">
        <w:rPr>
          <w:sz w:val="24"/>
          <w:szCs w:val="24"/>
        </w:rPr>
        <w:t xml:space="preserve"> δηλαδή</w:t>
      </w:r>
      <w:r w:rsidR="00EC407A" w:rsidRPr="0031121B">
        <w:rPr>
          <w:sz w:val="24"/>
          <w:szCs w:val="24"/>
        </w:rPr>
        <w:t xml:space="preserve"> στα επίπεδα του 2017 όταν η οικονομία βίωνε ακόμα τις επιπτώσεις της κρίσης χρέους και των </w:t>
      </w:r>
      <w:r w:rsidR="00EC407A" w:rsidRPr="0031121B">
        <w:rPr>
          <w:sz w:val="24"/>
          <w:szCs w:val="24"/>
          <w:lang w:val="en-US"/>
        </w:rPr>
        <w:t>capital</w:t>
      </w:r>
      <w:r w:rsidR="00EC407A" w:rsidRPr="0031121B">
        <w:rPr>
          <w:sz w:val="24"/>
          <w:szCs w:val="24"/>
        </w:rPr>
        <w:t xml:space="preserve"> </w:t>
      </w:r>
      <w:r w:rsidR="00EC407A" w:rsidRPr="0031121B">
        <w:rPr>
          <w:sz w:val="24"/>
          <w:szCs w:val="24"/>
          <w:lang w:val="en-US"/>
        </w:rPr>
        <w:t>controls</w:t>
      </w:r>
      <w:r w:rsidR="00EC407A" w:rsidRPr="0031121B">
        <w:rPr>
          <w:sz w:val="24"/>
          <w:szCs w:val="24"/>
        </w:rPr>
        <w:t>. Μετά την κρίση χρέους είχαμε καταγράψει την χαμηλότερη επίδοση κατά το 2</w:t>
      </w:r>
      <w:r w:rsidR="00EC407A" w:rsidRPr="0031121B">
        <w:rPr>
          <w:sz w:val="24"/>
          <w:szCs w:val="24"/>
          <w:vertAlign w:val="superscript"/>
        </w:rPr>
        <w:t>ο</w:t>
      </w:r>
      <w:r w:rsidR="00EC407A" w:rsidRPr="0031121B">
        <w:rPr>
          <w:sz w:val="24"/>
          <w:szCs w:val="24"/>
        </w:rPr>
        <w:t xml:space="preserve"> εξάμηνο του 2020 μετά το κλείσιμο της οικονομίας για την αντιμετώπιση της πανδημίας. Τα επόμενα δύο εξάμηνα οι προσδοκίες βελτιώθηκαν φτάνοντας το 54,9 το 2</w:t>
      </w:r>
      <w:r w:rsidR="00EC407A" w:rsidRPr="0031121B">
        <w:rPr>
          <w:sz w:val="24"/>
          <w:szCs w:val="24"/>
          <w:vertAlign w:val="superscript"/>
        </w:rPr>
        <w:t>ο</w:t>
      </w:r>
      <w:r w:rsidR="00EC407A" w:rsidRPr="0031121B">
        <w:rPr>
          <w:sz w:val="24"/>
          <w:szCs w:val="24"/>
        </w:rPr>
        <w:t xml:space="preserve"> εξάμηνο του 2021 και μετά το ξέσπασμα του πολέμου στην Ουκρανία ο δείκτης άρχισε ξανά να μειώνεται. Αξίζει να σημειωθεί ότι αντίστοιχα επιδείνωση των προσδοκιών καταγράφεται και από την έρευνα συγκυρίας της Εθνικής Τράπεζας για το 1</w:t>
      </w:r>
      <w:r w:rsidR="00EC407A" w:rsidRPr="0031121B">
        <w:rPr>
          <w:sz w:val="24"/>
          <w:szCs w:val="24"/>
          <w:vertAlign w:val="superscript"/>
        </w:rPr>
        <w:t>ο</w:t>
      </w:r>
      <w:r w:rsidR="00EC407A" w:rsidRPr="0031121B">
        <w:rPr>
          <w:sz w:val="24"/>
          <w:szCs w:val="24"/>
        </w:rPr>
        <w:t xml:space="preserve"> εξάμηνο του 2022</w:t>
      </w:r>
      <w:r w:rsidR="00D7535C">
        <w:rPr>
          <w:rStyle w:val="a9"/>
          <w:sz w:val="24"/>
          <w:szCs w:val="24"/>
        </w:rPr>
        <w:footnoteReference w:id="2"/>
      </w:r>
      <w:r w:rsidR="00EC407A" w:rsidRPr="0031121B">
        <w:rPr>
          <w:sz w:val="24"/>
          <w:szCs w:val="24"/>
        </w:rPr>
        <w:t xml:space="preserve"> σύμφωνα με την οποία ο δείκτης εμπιστοσύνης μειώθηκε στις </w:t>
      </w:r>
      <w:r w:rsidR="000403D3">
        <w:rPr>
          <w:sz w:val="24"/>
          <w:szCs w:val="24"/>
        </w:rPr>
        <w:t>13</w:t>
      </w:r>
      <w:r w:rsidR="00EC407A" w:rsidRPr="0031121B">
        <w:rPr>
          <w:sz w:val="24"/>
          <w:szCs w:val="24"/>
        </w:rPr>
        <w:t xml:space="preserve"> από τις 24 </w:t>
      </w:r>
      <w:r w:rsidR="000403D3">
        <w:rPr>
          <w:sz w:val="24"/>
          <w:szCs w:val="24"/>
        </w:rPr>
        <w:t xml:space="preserve">μονάδες </w:t>
      </w:r>
      <w:r w:rsidR="00EC407A" w:rsidRPr="0031121B">
        <w:rPr>
          <w:sz w:val="24"/>
          <w:szCs w:val="24"/>
        </w:rPr>
        <w:t xml:space="preserve">που βρισκόταν κατά το προηγούμενο εξάμηνο. </w:t>
      </w:r>
    </w:p>
    <w:p w:rsidR="00EC407A" w:rsidRPr="00EC407A" w:rsidRDefault="0003191B" w:rsidP="00700BFC">
      <w:pPr>
        <w:rPr>
          <w:b/>
        </w:rPr>
      </w:pPr>
      <w:r>
        <w:rPr>
          <w:noProof/>
        </w:rPr>
        <w:drawing>
          <wp:inline distT="0" distB="0" distL="0" distR="0" wp14:anchorId="5D6E49A3" wp14:editId="6B0BC8C1">
            <wp:extent cx="6660515" cy="2773045"/>
            <wp:effectExtent l="0" t="0" r="26035" b="27305"/>
            <wp:docPr id="58" name="Γράφημα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407A" w:rsidRPr="0031121B" w:rsidRDefault="00EC407A" w:rsidP="00700BFC">
      <w:pPr>
        <w:spacing w:after="0" w:line="360" w:lineRule="auto"/>
        <w:jc w:val="both"/>
        <w:rPr>
          <w:b/>
          <w:sz w:val="24"/>
          <w:szCs w:val="24"/>
        </w:rPr>
      </w:pPr>
      <w:r w:rsidRPr="0031121B">
        <w:rPr>
          <w:sz w:val="24"/>
          <w:szCs w:val="24"/>
        </w:rPr>
        <w:t xml:space="preserve">Σε κλαδικό επίπεδο, οι σταθερές και θετικές προσδοκίες είναι σαφώς καλύτερες (51,1%) για τις επιχειρήσεις του τομέα των υπηρεσιών με τον </w:t>
      </w:r>
      <w:proofErr w:type="spellStart"/>
      <w:r w:rsidRPr="0031121B">
        <w:rPr>
          <w:sz w:val="24"/>
          <w:szCs w:val="24"/>
        </w:rPr>
        <w:t>υποκλάδο</w:t>
      </w:r>
      <w:proofErr w:type="spellEnd"/>
      <w:r w:rsidRPr="0031121B">
        <w:rPr>
          <w:sz w:val="24"/>
          <w:szCs w:val="24"/>
        </w:rPr>
        <w:t xml:space="preserve"> της εστίασης να διαφοροποιείται σημαντικά από τον ευρύτερο τομέα των υπηρεσιών σημειώνοντας σταθερές και θετικές προσδοκίες </w:t>
      </w:r>
      <w:r w:rsidR="00B5200E" w:rsidRPr="0031121B">
        <w:rPr>
          <w:sz w:val="24"/>
          <w:szCs w:val="24"/>
        </w:rPr>
        <w:t>για</w:t>
      </w:r>
      <w:r w:rsidRPr="0031121B">
        <w:rPr>
          <w:sz w:val="24"/>
          <w:szCs w:val="24"/>
        </w:rPr>
        <w:t xml:space="preserve"> το 41,1% των επιχειρήσεων αυτών</w:t>
      </w:r>
      <w:r w:rsidR="00B5200E" w:rsidRPr="0031121B">
        <w:rPr>
          <w:sz w:val="24"/>
          <w:szCs w:val="24"/>
        </w:rPr>
        <w:t>, ενώ ο</w:t>
      </w:r>
      <w:r w:rsidRPr="0031121B">
        <w:rPr>
          <w:sz w:val="24"/>
          <w:szCs w:val="24"/>
        </w:rPr>
        <w:t>ι λιγότερο θετικές προσδοκίες εμφανίζονται στις εμπ</w:t>
      </w:r>
      <w:r w:rsidR="00925651" w:rsidRPr="0031121B">
        <w:rPr>
          <w:sz w:val="24"/>
          <w:szCs w:val="24"/>
        </w:rPr>
        <w:t>ορικές επιχειρήσεις</w:t>
      </w:r>
      <w:r w:rsidRPr="0031121B">
        <w:rPr>
          <w:sz w:val="24"/>
          <w:szCs w:val="24"/>
        </w:rPr>
        <w:t xml:space="preserve">. Σε γεωγραφικό επίπεδο οι προσδοκίες είναι σημαντικά καλύτερες στις τουριστικές περιοχές των νησιών του Αιγαίου και της Κρήτης. Τέλος υψηλή θετική συσχέτιση παρατηρείται μεταξύ των θετικών προσδοκιών και </w:t>
      </w:r>
      <w:r w:rsidRPr="0031121B">
        <w:rPr>
          <w:sz w:val="24"/>
          <w:szCs w:val="24"/>
        </w:rPr>
        <w:lastRenderedPageBreak/>
        <w:t>του μεγέθους των επιχειρήσεων σε όρου</w:t>
      </w:r>
      <w:r w:rsidR="00B5200E" w:rsidRPr="0031121B">
        <w:rPr>
          <w:sz w:val="24"/>
          <w:szCs w:val="24"/>
        </w:rPr>
        <w:t>ς κύκλου εργασιών και αριθμού</w:t>
      </w:r>
      <w:r w:rsidRPr="0031121B">
        <w:rPr>
          <w:sz w:val="24"/>
          <w:szCs w:val="24"/>
        </w:rPr>
        <w:t xml:space="preserve"> εργαζομένων με τις μεγαλύτερες επιχειρήσεις να παρουσιάζουν υπερδιπλάσια ποσοστά θετικών προσδοκιών σε σχέση με τις μικρότερες</w:t>
      </w:r>
      <w:r w:rsidR="00B5200E" w:rsidRPr="0031121B">
        <w:rPr>
          <w:sz w:val="24"/>
          <w:szCs w:val="24"/>
        </w:rPr>
        <w:t xml:space="preserve"> </w:t>
      </w:r>
      <w:r w:rsidR="00B5200E" w:rsidRPr="00AC6997">
        <w:rPr>
          <w:sz w:val="24"/>
          <w:szCs w:val="24"/>
        </w:rPr>
        <w:t>(Πίνακας 1</w:t>
      </w:r>
      <w:r w:rsidR="00AC6997" w:rsidRPr="00AC6997">
        <w:rPr>
          <w:sz w:val="24"/>
          <w:szCs w:val="24"/>
        </w:rPr>
        <w:t>1</w:t>
      </w:r>
      <w:r w:rsidR="00B5200E" w:rsidRPr="00AC6997">
        <w:rPr>
          <w:sz w:val="24"/>
          <w:szCs w:val="24"/>
        </w:rPr>
        <w:t>)</w:t>
      </w:r>
      <w:r w:rsidRPr="00AC6997">
        <w:rPr>
          <w:sz w:val="24"/>
          <w:szCs w:val="24"/>
        </w:rPr>
        <w:t>.</w:t>
      </w:r>
    </w:p>
    <w:tbl>
      <w:tblPr>
        <w:tblW w:w="5000" w:type="pct"/>
        <w:tblLook w:val="04A0" w:firstRow="1" w:lastRow="0" w:firstColumn="1" w:lastColumn="0" w:noHBand="0" w:noVBand="1"/>
      </w:tblPr>
      <w:tblGrid>
        <w:gridCol w:w="2199"/>
        <w:gridCol w:w="985"/>
        <w:gridCol w:w="1118"/>
        <w:gridCol w:w="940"/>
        <w:gridCol w:w="796"/>
        <w:gridCol w:w="845"/>
        <w:gridCol w:w="860"/>
        <w:gridCol w:w="926"/>
        <w:gridCol w:w="951"/>
        <w:gridCol w:w="1085"/>
      </w:tblGrid>
      <w:tr w:rsidR="00EC407A" w:rsidRPr="00EC407A" w:rsidTr="00EC407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1B2706" w:rsidRPr="00B36044" w:rsidRDefault="00EC407A" w:rsidP="00700BFC">
            <w:pPr>
              <w:spacing w:after="0" w:line="36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t>Πίνακας 1</w:t>
            </w:r>
            <w:r w:rsidR="00AC6997" w:rsidRPr="00AC6997">
              <w:rPr>
                <w:rFonts w:ascii="Calibri" w:eastAsia="Times New Roman" w:hAnsi="Calibri" w:cs="Calibri"/>
                <w:b/>
                <w:bCs/>
                <w:color w:val="000000"/>
                <w:sz w:val="24"/>
                <w:szCs w:val="24"/>
              </w:rPr>
              <w:t>1</w:t>
            </w:r>
          </w:p>
          <w:p w:rsidR="001B2706" w:rsidRPr="00B36044" w:rsidRDefault="00EC407A" w:rsidP="00700BFC">
            <w:pPr>
              <w:spacing w:after="0" w:line="360" w:lineRule="auto"/>
              <w:jc w:val="center"/>
              <w:rPr>
                <w:rFonts w:ascii="Calibri" w:eastAsia="Times New Roman" w:hAnsi="Calibri" w:cs="Calibri"/>
                <w:b/>
                <w:bCs/>
                <w:color w:val="000000"/>
                <w:sz w:val="24"/>
                <w:szCs w:val="24"/>
              </w:rPr>
            </w:pPr>
            <w:r w:rsidRPr="00EC407A">
              <w:rPr>
                <w:rFonts w:ascii="Calibri" w:eastAsia="Times New Roman" w:hAnsi="Calibri" w:cs="Calibri"/>
                <w:b/>
                <w:bCs/>
                <w:color w:val="000000"/>
                <w:sz w:val="24"/>
                <w:szCs w:val="24"/>
              </w:rPr>
              <w:t>Εκτίμηση</w:t>
            </w:r>
            <w:r w:rsidR="00A32C1B">
              <w:rPr>
                <w:rFonts w:ascii="Calibri" w:eastAsia="Times New Roman" w:hAnsi="Calibri" w:cs="Calibri"/>
                <w:b/>
                <w:bCs/>
                <w:color w:val="000000"/>
                <w:sz w:val="24"/>
                <w:szCs w:val="24"/>
              </w:rPr>
              <w:t xml:space="preserve"> για τη κατάσταση της επιχείρηση</w:t>
            </w:r>
            <w:r w:rsidRPr="00EC407A">
              <w:rPr>
                <w:rFonts w:ascii="Calibri" w:eastAsia="Times New Roman" w:hAnsi="Calibri" w:cs="Calibri"/>
                <w:b/>
                <w:bCs/>
                <w:color w:val="000000"/>
                <w:sz w:val="24"/>
                <w:szCs w:val="24"/>
              </w:rPr>
              <w:t>ς το δεύτερο εξάμηνο του 2022</w:t>
            </w:r>
          </w:p>
        </w:tc>
      </w:tr>
      <w:tr w:rsidR="00EC407A" w:rsidRPr="00EC407A" w:rsidTr="00EC407A">
        <w:trPr>
          <w:trHeight w:val="289"/>
        </w:trPr>
        <w:tc>
          <w:tcPr>
            <w:tcW w:w="1029" w:type="pct"/>
            <w:vMerge w:val="restart"/>
            <w:tcBorders>
              <w:top w:val="nil"/>
              <w:left w:val="single" w:sz="4" w:space="0" w:color="auto"/>
              <w:bottom w:val="single" w:sz="4" w:space="0" w:color="auto"/>
              <w:right w:val="single" w:sz="4" w:space="0" w:color="auto"/>
            </w:tcBorders>
            <w:shd w:val="clear" w:color="D9E1F2" w:fill="D9E1F2"/>
            <w:noWrap/>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427" w:type="pct"/>
            <w:gridSpan w:val="3"/>
            <w:tcBorders>
              <w:top w:val="single" w:sz="4" w:space="0" w:color="auto"/>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ΚΛΑΔΟΣ</w:t>
            </w:r>
          </w:p>
        </w:tc>
        <w:tc>
          <w:tcPr>
            <w:tcW w:w="2544" w:type="pct"/>
            <w:gridSpan w:val="6"/>
            <w:tcBorders>
              <w:top w:val="single" w:sz="4" w:space="0" w:color="auto"/>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ΕΤΗΣΙΟΣ ΚΥΚΛΟΣ ΕΡΓΑΣΙΩΝ</w:t>
            </w:r>
          </w:p>
        </w:tc>
      </w:tr>
      <w:tr w:rsidR="00EC407A" w:rsidRPr="00EC407A" w:rsidTr="00EC407A">
        <w:trPr>
          <w:trHeight w:val="600"/>
        </w:trPr>
        <w:tc>
          <w:tcPr>
            <w:tcW w:w="1029" w:type="pct"/>
            <w:vMerge/>
            <w:tcBorders>
              <w:top w:val="nil"/>
              <w:left w:val="single" w:sz="4" w:space="0" w:color="auto"/>
              <w:bottom w:val="single" w:sz="4" w:space="0" w:color="auto"/>
              <w:right w:val="single" w:sz="4" w:space="0" w:color="auto"/>
            </w:tcBorders>
            <w:vAlign w:val="center"/>
            <w:hideMark/>
          </w:tcPr>
          <w:p w:rsidR="00EC407A" w:rsidRPr="00EC407A" w:rsidRDefault="00EC407A" w:rsidP="00700BFC">
            <w:pPr>
              <w:spacing w:after="0" w:line="240" w:lineRule="auto"/>
              <w:rPr>
                <w:rFonts w:ascii="Calibri" w:eastAsia="Times New Roman" w:hAnsi="Calibri" w:cs="Calibri"/>
                <w:b/>
                <w:bCs/>
                <w:color w:val="000000"/>
                <w:sz w:val="16"/>
                <w:szCs w:val="16"/>
              </w:rPr>
            </w:pPr>
          </w:p>
        </w:tc>
        <w:tc>
          <w:tcPr>
            <w:tcW w:w="462"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Εμπόριο</w:t>
            </w:r>
          </w:p>
        </w:tc>
        <w:tc>
          <w:tcPr>
            <w:tcW w:w="524"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Μεταποίηση</w:t>
            </w:r>
          </w:p>
        </w:tc>
        <w:tc>
          <w:tcPr>
            <w:tcW w:w="441"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Υπηρεσίες</w:t>
            </w:r>
          </w:p>
        </w:tc>
        <w:tc>
          <w:tcPr>
            <w:tcW w:w="373"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Κάτω από 50.000 €</w:t>
            </w:r>
          </w:p>
        </w:tc>
        <w:tc>
          <w:tcPr>
            <w:tcW w:w="396"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50.000 - 100.000€</w:t>
            </w:r>
          </w:p>
        </w:tc>
        <w:tc>
          <w:tcPr>
            <w:tcW w:w="403"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100.001 - 300.000€</w:t>
            </w:r>
          </w:p>
        </w:tc>
        <w:tc>
          <w:tcPr>
            <w:tcW w:w="434"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300.001 - 500.000 €</w:t>
            </w:r>
          </w:p>
        </w:tc>
        <w:tc>
          <w:tcPr>
            <w:tcW w:w="430"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500.001 - 1.000.000€</w:t>
            </w:r>
          </w:p>
        </w:tc>
        <w:tc>
          <w:tcPr>
            <w:tcW w:w="509"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Πάνω από 1.000.000 €</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βελτιωθεί</w:t>
            </w:r>
          </w:p>
        </w:tc>
        <w:tc>
          <w:tcPr>
            <w:tcW w:w="462"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16,4%</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13,5%</w:t>
            </w:r>
          </w:p>
        </w:tc>
        <w:tc>
          <w:tcPr>
            <w:tcW w:w="44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22,3%</w:t>
            </w:r>
          </w:p>
        </w:tc>
        <w:tc>
          <w:tcPr>
            <w:tcW w:w="37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14,0%</w:t>
            </w:r>
          </w:p>
        </w:tc>
        <w:tc>
          <w:tcPr>
            <w:tcW w:w="396"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15,7%</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20,3%</w:t>
            </w:r>
          </w:p>
        </w:tc>
        <w:tc>
          <w:tcPr>
            <w:tcW w:w="43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36,1%</w:t>
            </w:r>
          </w:p>
        </w:tc>
        <w:tc>
          <w:tcPr>
            <w:tcW w:w="43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21,2%</w:t>
            </w:r>
          </w:p>
        </w:tc>
        <w:tc>
          <w:tcPr>
            <w:tcW w:w="50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37,1%</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παραμείνει αμετάβλητη</w:t>
            </w:r>
          </w:p>
        </w:tc>
        <w:tc>
          <w:tcPr>
            <w:tcW w:w="462"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22,4%</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29,0%</w:t>
            </w:r>
          </w:p>
        </w:tc>
        <w:tc>
          <w:tcPr>
            <w:tcW w:w="44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28,8%</w:t>
            </w:r>
          </w:p>
        </w:tc>
        <w:tc>
          <w:tcPr>
            <w:tcW w:w="37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26,3%</w:t>
            </w:r>
          </w:p>
        </w:tc>
        <w:tc>
          <w:tcPr>
            <w:tcW w:w="396"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23,9%</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30,4%</w:t>
            </w:r>
          </w:p>
        </w:tc>
        <w:tc>
          <w:tcPr>
            <w:tcW w:w="43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25,0%</w:t>
            </w:r>
          </w:p>
        </w:tc>
        <w:tc>
          <w:tcPr>
            <w:tcW w:w="43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27,3%</w:t>
            </w:r>
          </w:p>
        </w:tc>
        <w:tc>
          <w:tcPr>
            <w:tcW w:w="50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25,7%</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επιδεινωθεί</w:t>
            </w:r>
          </w:p>
        </w:tc>
        <w:tc>
          <w:tcPr>
            <w:tcW w:w="462"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55,2%</w:t>
            </w:r>
          </w:p>
        </w:tc>
        <w:tc>
          <w:tcPr>
            <w:tcW w:w="524"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47,2%</w:t>
            </w:r>
          </w:p>
        </w:tc>
        <w:tc>
          <w:tcPr>
            <w:tcW w:w="441"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42,4%</w:t>
            </w:r>
          </w:p>
        </w:tc>
        <w:tc>
          <w:tcPr>
            <w:tcW w:w="373"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52,9%</w:t>
            </w:r>
          </w:p>
        </w:tc>
        <w:tc>
          <w:tcPr>
            <w:tcW w:w="396"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53,0%</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41,3%</w:t>
            </w:r>
          </w:p>
        </w:tc>
        <w:tc>
          <w:tcPr>
            <w:tcW w:w="43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27,8%</w:t>
            </w:r>
          </w:p>
        </w:tc>
        <w:tc>
          <w:tcPr>
            <w:tcW w:w="43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48,5%</w:t>
            </w:r>
          </w:p>
        </w:tc>
        <w:tc>
          <w:tcPr>
            <w:tcW w:w="50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34,3%</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w:t>
            </w:r>
          </w:p>
        </w:tc>
        <w:tc>
          <w:tcPr>
            <w:tcW w:w="462"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10,4%</w:t>
            </w:r>
          </w:p>
        </w:tc>
        <w:tc>
          <w:tcPr>
            <w:tcW w:w="44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6,5%</w:t>
            </w:r>
          </w:p>
        </w:tc>
        <w:tc>
          <w:tcPr>
            <w:tcW w:w="37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6,7%</w:t>
            </w:r>
          </w:p>
        </w:tc>
        <w:tc>
          <w:tcPr>
            <w:tcW w:w="396"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7,5%</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8,0%</w:t>
            </w:r>
          </w:p>
        </w:tc>
        <w:tc>
          <w:tcPr>
            <w:tcW w:w="43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11,1%</w:t>
            </w:r>
          </w:p>
        </w:tc>
        <w:tc>
          <w:tcPr>
            <w:tcW w:w="43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3,0%</w:t>
            </w:r>
          </w:p>
        </w:tc>
        <w:tc>
          <w:tcPr>
            <w:tcW w:w="50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w:t>
            </w:r>
          </w:p>
        </w:tc>
      </w:tr>
      <w:tr w:rsidR="00EC407A" w:rsidRPr="00EC407A" w:rsidTr="00EC407A">
        <w:trPr>
          <w:trHeight w:val="289"/>
        </w:trPr>
        <w:tc>
          <w:tcPr>
            <w:tcW w:w="1029" w:type="pct"/>
            <w:vMerge w:val="restart"/>
            <w:tcBorders>
              <w:top w:val="nil"/>
              <w:left w:val="single" w:sz="4" w:space="0" w:color="auto"/>
              <w:bottom w:val="single" w:sz="4" w:space="0" w:color="auto"/>
              <w:right w:val="single" w:sz="4" w:space="0" w:color="auto"/>
            </w:tcBorders>
            <w:shd w:val="clear" w:color="D9E1F2" w:fill="D9E1F2"/>
            <w:noWrap/>
            <w:vAlign w:val="center"/>
            <w:hideMark/>
          </w:tcPr>
          <w:p w:rsidR="00EC407A" w:rsidRPr="00EC407A" w:rsidRDefault="00EC407A" w:rsidP="00700BFC">
            <w:pPr>
              <w:spacing w:after="0" w:line="240" w:lineRule="auto"/>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800" w:type="pct"/>
            <w:gridSpan w:val="4"/>
            <w:tcBorders>
              <w:top w:val="single" w:sz="4" w:space="0" w:color="auto"/>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ΑΡΙΘΜΟΣ ΕΡΓΑΖΟΜΕΝΩΝ</w:t>
            </w:r>
          </w:p>
        </w:tc>
        <w:tc>
          <w:tcPr>
            <w:tcW w:w="1662" w:type="pct"/>
            <w:gridSpan w:val="4"/>
            <w:tcBorders>
              <w:top w:val="single" w:sz="4" w:space="0" w:color="auto"/>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ΓΕΩΓΡΑΦΙΚΗ ΠΕΡΙΟΧΗ</w:t>
            </w:r>
          </w:p>
        </w:tc>
        <w:tc>
          <w:tcPr>
            <w:tcW w:w="509"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ΥΠΟΚΛΑΔΟΣ</w:t>
            </w:r>
          </w:p>
        </w:tc>
      </w:tr>
      <w:tr w:rsidR="00EC407A" w:rsidRPr="00EC407A" w:rsidTr="00EC407A">
        <w:trPr>
          <w:trHeight w:val="900"/>
        </w:trPr>
        <w:tc>
          <w:tcPr>
            <w:tcW w:w="1029" w:type="pct"/>
            <w:vMerge/>
            <w:tcBorders>
              <w:top w:val="nil"/>
              <w:left w:val="single" w:sz="4" w:space="0" w:color="auto"/>
              <w:bottom w:val="single" w:sz="4" w:space="0" w:color="auto"/>
              <w:right w:val="single" w:sz="4" w:space="0" w:color="auto"/>
            </w:tcBorders>
            <w:vAlign w:val="center"/>
            <w:hideMark/>
          </w:tcPr>
          <w:p w:rsidR="00EC407A" w:rsidRPr="00EC407A" w:rsidRDefault="00EC407A" w:rsidP="00700BFC">
            <w:pPr>
              <w:spacing w:after="0" w:line="240" w:lineRule="auto"/>
              <w:rPr>
                <w:rFonts w:ascii="Calibri" w:eastAsia="Times New Roman" w:hAnsi="Calibri" w:cs="Calibri"/>
                <w:b/>
                <w:bCs/>
                <w:color w:val="000000"/>
                <w:sz w:val="16"/>
                <w:szCs w:val="16"/>
              </w:rPr>
            </w:pPr>
          </w:p>
        </w:tc>
        <w:tc>
          <w:tcPr>
            <w:tcW w:w="462"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Χωρίς προσωπικό</w:t>
            </w:r>
          </w:p>
        </w:tc>
        <w:tc>
          <w:tcPr>
            <w:tcW w:w="524"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 έως 4</w:t>
            </w:r>
          </w:p>
        </w:tc>
        <w:tc>
          <w:tcPr>
            <w:tcW w:w="441"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 έως 9</w:t>
            </w:r>
          </w:p>
        </w:tc>
        <w:tc>
          <w:tcPr>
            <w:tcW w:w="373"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 έως 49</w:t>
            </w:r>
          </w:p>
        </w:tc>
        <w:tc>
          <w:tcPr>
            <w:tcW w:w="396"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EL3 ΑΤΤΙΚΗ</w:t>
            </w:r>
          </w:p>
        </w:tc>
        <w:tc>
          <w:tcPr>
            <w:tcW w:w="403"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EL5 ΒΟΡΕΙΑ ΕΛΛΑΔΑ</w:t>
            </w:r>
          </w:p>
        </w:tc>
        <w:tc>
          <w:tcPr>
            <w:tcW w:w="434"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EL6 ΚΕΝΤΡΙΚΗ ΕΛΛΑΔΑ</w:t>
            </w:r>
          </w:p>
        </w:tc>
        <w:tc>
          <w:tcPr>
            <w:tcW w:w="430"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EL4 ΝΗΣΙΑ ΑΙΓΑΙΟΥ &amp; ΚΡΗΤΗ</w:t>
            </w:r>
          </w:p>
        </w:tc>
        <w:tc>
          <w:tcPr>
            <w:tcW w:w="509" w:type="pct"/>
            <w:tcBorders>
              <w:top w:val="nil"/>
              <w:left w:val="nil"/>
              <w:bottom w:val="single" w:sz="4" w:space="0" w:color="auto"/>
              <w:right w:val="single" w:sz="4" w:space="0" w:color="auto"/>
            </w:tcBorders>
            <w:shd w:val="clear" w:color="D9E1F2" w:fill="D9E1F2"/>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Εστίαση</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βελτιωθεί</w:t>
            </w:r>
          </w:p>
        </w:tc>
        <w:tc>
          <w:tcPr>
            <w:tcW w:w="462"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13,7%</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15,7%</w:t>
            </w:r>
          </w:p>
        </w:tc>
        <w:tc>
          <w:tcPr>
            <w:tcW w:w="44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27,7%</w:t>
            </w:r>
          </w:p>
        </w:tc>
        <w:tc>
          <w:tcPr>
            <w:tcW w:w="37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32,7%</w:t>
            </w:r>
          </w:p>
        </w:tc>
        <w:tc>
          <w:tcPr>
            <w:tcW w:w="396"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14,8%</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13,8%</w:t>
            </w:r>
          </w:p>
        </w:tc>
        <w:tc>
          <w:tcPr>
            <w:tcW w:w="43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21,2%</w:t>
            </w:r>
          </w:p>
        </w:tc>
        <w:tc>
          <w:tcPr>
            <w:tcW w:w="43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29,8%</w:t>
            </w:r>
          </w:p>
        </w:tc>
        <w:tc>
          <w:tcPr>
            <w:tcW w:w="509" w:type="pct"/>
            <w:tcBorders>
              <w:top w:val="nil"/>
              <w:left w:val="nil"/>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19,2%</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παραμείνει αμετάβλητη</w:t>
            </w:r>
          </w:p>
        </w:tc>
        <w:tc>
          <w:tcPr>
            <w:tcW w:w="462"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24,5%</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27,8%</w:t>
            </w:r>
          </w:p>
        </w:tc>
        <w:tc>
          <w:tcPr>
            <w:tcW w:w="44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26,7%</w:t>
            </w:r>
          </w:p>
        </w:tc>
        <w:tc>
          <w:tcPr>
            <w:tcW w:w="37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28,8%</w:t>
            </w:r>
          </w:p>
        </w:tc>
        <w:tc>
          <w:tcPr>
            <w:tcW w:w="396"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26,1%</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28,1%</w:t>
            </w:r>
          </w:p>
        </w:tc>
        <w:tc>
          <w:tcPr>
            <w:tcW w:w="43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21,2%</w:t>
            </w:r>
          </w:p>
        </w:tc>
        <w:tc>
          <w:tcPr>
            <w:tcW w:w="43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33,7%</w:t>
            </w:r>
          </w:p>
        </w:tc>
        <w:tc>
          <w:tcPr>
            <w:tcW w:w="509" w:type="pct"/>
            <w:tcBorders>
              <w:top w:val="nil"/>
              <w:left w:val="nil"/>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21,9%</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επιδεινωθεί</w:t>
            </w:r>
          </w:p>
        </w:tc>
        <w:tc>
          <w:tcPr>
            <w:tcW w:w="462"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55,4%</w:t>
            </w:r>
          </w:p>
        </w:tc>
        <w:tc>
          <w:tcPr>
            <w:tcW w:w="524"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48,2%</w:t>
            </w:r>
          </w:p>
        </w:tc>
        <w:tc>
          <w:tcPr>
            <w:tcW w:w="441"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39,6%</w:t>
            </w:r>
          </w:p>
        </w:tc>
        <w:tc>
          <w:tcPr>
            <w:tcW w:w="373"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32,7%</w:t>
            </w:r>
          </w:p>
        </w:tc>
        <w:tc>
          <w:tcPr>
            <w:tcW w:w="396"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48,8%</w:t>
            </w:r>
          </w:p>
        </w:tc>
        <w:tc>
          <w:tcPr>
            <w:tcW w:w="403"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52,1%</w:t>
            </w:r>
          </w:p>
        </w:tc>
        <w:tc>
          <w:tcPr>
            <w:tcW w:w="434"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53,4%</w:t>
            </w:r>
          </w:p>
        </w:tc>
        <w:tc>
          <w:tcPr>
            <w:tcW w:w="430" w:type="pct"/>
            <w:tcBorders>
              <w:top w:val="nil"/>
              <w:left w:val="nil"/>
              <w:bottom w:val="single" w:sz="4" w:space="0" w:color="auto"/>
              <w:right w:val="single" w:sz="4" w:space="0" w:color="auto"/>
            </w:tcBorders>
            <w:shd w:val="clear" w:color="000000" w:fill="FFFFFF"/>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29,8%</w:t>
            </w:r>
          </w:p>
        </w:tc>
        <w:tc>
          <w:tcPr>
            <w:tcW w:w="509" w:type="pct"/>
            <w:tcBorders>
              <w:top w:val="nil"/>
              <w:left w:val="nil"/>
              <w:bottom w:val="single" w:sz="4" w:space="0" w:color="auto"/>
              <w:right w:val="single" w:sz="4" w:space="0" w:color="auto"/>
            </w:tcBorders>
            <w:shd w:val="clear" w:color="000000" w:fill="FFFFFF"/>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54,8%</w:t>
            </w:r>
          </w:p>
        </w:tc>
      </w:tr>
      <w:tr w:rsidR="00EC407A" w:rsidRPr="00EC407A" w:rsidTr="00EC407A">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w:t>
            </w:r>
          </w:p>
        </w:tc>
        <w:tc>
          <w:tcPr>
            <w:tcW w:w="462"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6,5%</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8,3%</w:t>
            </w:r>
          </w:p>
        </w:tc>
        <w:tc>
          <w:tcPr>
            <w:tcW w:w="44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5,9%</w:t>
            </w:r>
          </w:p>
        </w:tc>
        <w:tc>
          <w:tcPr>
            <w:tcW w:w="37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5,8%</w:t>
            </w:r>
          </w:p>
        </w:tc>
        <w:tc>
          <w:tcPr>
            <w:tcW w:w="396"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10,3%</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43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w:t>
            </w:r>
          </w:p>
        </w:tc>
        <w:tc>
          <w:tcPr>
            <w:tcW w:w="43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6,7%</w:t>
            </w:r>
          </w:p>
        </w:tc>
        <w:tc>
          <w:tcPr>
            <w:tcW w:w="509" w:type="pct"/>
            <w:tcBorders>
              <w:top w:val="nil"/>
              <w:left w:val="nil"/>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w:t>
            </w:r>
          </w:p>
        </w:tc>
      </w:tr>
    </w:tbl>
    <w:p w:rsidR="00EC407A" w:rsidRPr="00EC407A" w:rsidRDefault="00EC407A" w:rsidP="00700BFC">
      <w:pPr>
        <w:spacing w:after="0" w:line="360" w:lineRule="auto"/>
        <w:rPr>
          <w:b/>
        </w:rPr>
      </w:pPr>
    </w:p>
    <w:p w:rsidR="00EC407A" w:rsidRPr="0071365A" w:rsidRDefault="00EC407A" w:rsidP="00700BFC">
      <w:pPr>
        <w:numPr>
          <w:ilvl w:val="0"/>
          <w:numId w:val="4"/>
        </w:numPr>
        <w:spacing w:after="0" w:line="360" w:lineRule="auto"/>
        <w:contextualSpacing/>
        <w:rPr>
          <w:b/>
          <w:sz w:val="24"/>
          <w:szCs w:val="24"/>
          <w:u w:val="single"/>
        </w:rPr>
      </w:pPr>
      <w:r w:rsidRPr="0071365A">
        <w:rPr>
          <w:b/>
          <w:sz w:val="24"/>
          <w:szCs w:val="24"/>
          <w:u w:val="single"/>
        </w:rPr>
        <w:t xml:space="preserve">Βασικοί οικονομικοί δείκτες </w:t>
      </w:r>
    </w:p>
    <w:p w:rsidR="00EC407A" w:rsidRPr="0031121B" w:rsidRDefault="00EC407A" w:rsidP="00700BFC">
      <w:pPr>
        <w:spacing w:after="0" w:line="360" w:lineRule="auto"/>
        <w:jc w:val="both"/>
        <w:rPr>
          <w:sz w:val="24"/>
          <w:szCs w:val="24"/>
        </w:rPr>
      </w:pPr>
      <w:r w:rsidRPr="0031121B">
        <w:rPr>
          <w:sz w:val="24"/>
          <w:szCs w:val="24"/>
        </w:rPr>
        <w:t xml:space="preserve">Όσον αφορά στις εκτιμήσεις των επιχειρήσεων </w:t>
      </w:r>
      <w:r w:rsidR="00B5200E" w:rsidRPr="0031121B">
        <w:rPr>
          <w:sz w:val="24"/>
          <w:szCs w:val="24"/>
        </w:rPr>
        <w:t>στους επιμέρους</w:t>
      </w:r>
      <w:r w:rsidRPr="0031121B">
        <w:rPr>
          <w:sz w:val="24"/>
          <w:szCs w:val="24"/>
        </w:rPr>
        <w:t xml:space="preserve"> οικονομικούς δείκτες για το 2ο εξάμηνο του 2022 παρατηρούμε ότι οι αρνητικές εκτιμήσεις για τον </w:t>
      </w:r>
      <w:r w:rsidR="00C721D3">
        <w:rPr>
          <w:sz w:val="24"/>
          <w:szCs w:val="24"/>
        </w:rPr>
        <w:t>κύκλο εργασιών</w:t>
      </w:r>
      <w:r w:rsidRPr="0031121B">
        <w:rPr>
          <w:sz w:val="24"/>
          <w:szCs w:val="24"/>
        </w:rPr>
        <w:t>, τη ζήτηση, την ρευστότητα και τις παραγγελίες προς προμηθευτές προσεγγίζουν το 50%</w:t>
      </w:r>
      <w:r w:rsidR="007E7529">
        <w:rPr>
          <w:sz w:val="24"/>
          <w:szCs w:val="24"/>
        </w:rPr>
        <w:t>.</w:t>
      </w:r>
      <w:r w:rsidRPr="0031121B">
        <w:rPr>
          <w:sz w:val="24"/>
          <w:szCs w:val="24"/>
        </w:rPr>
        <w:t xml:space="preserve"> </w:t>
      </w:r>
      <w:r w:rsidR="007E7529">
        <w:rPr>
          <w:sz w:val="24"/>
          <w:szCs w:val="24"/>
        </w:rPr>
        <w:t>Αντίθετα,</w:t>
      </w:r>
      <w:r w:rsidRPr="0031121B">
        <w:rPr>
          <w:sz w:val="24"/>
          <w:szCs w:val="24"/>
        </w:rPr>
        <w:t xml:space="preserve"> οι</w:t>
      </w:r>
      <w:r w:rsidR="00726FDE" w:rsidRPr="0031121B">
        <w:rPr>
          <w:sz w:val="24"/>
          <w:szCs w:val="24"/>
        </w:rPr>
        <w:t xml:space="preserve"> καθαρά</w:t>
      </w:r>
      <w:r w:rsidRPr="0031121B">
        <w:rPr>
          <w:sz w:val="24"/>
          <w:szCs w:val="24"/>
        </w:rPr>
        <w:t xml:space="preserve"> θετικές κινούνται μόλις κοντά στο 20%</w:t>
      </w:r>
      <w:r w:rsidR="00726FDE" w:rsidRPr="0031121B">
        <w:rPr>
          <w:sz w:val="24"/>
          <w:szCs w:val="24"/>
        </w:rPr>
        <w:t xml:space="preserve"> (Γράφημα 2</w:t>
      </w:r>
      <w:r w:rsidR="003401D3">
        <w:rPr>
          <w:sz w:val="24"/>
          <w:szCs w:val="24"/>
        </w:rPr>
        <w:t>8</w:t>
      </w:r>
      <w:r w:rsidR="00726FDE" w:rsidRPr="0031121B">
        <w:rPr>
          <w:sz w:val="24"/>
          <w:szCs w:val="24"/>
        </w:rPr>
        <w:t>)</w:t>
      </w:r>
      <w:r w:rsidRPr="0031121B">
        <w:rPr>
          <w:sz w:val="24"/>
          <w:szCs w:val="24"/>
        </w:rPr>
        <w:t xml:space="preserve">. </w:t>
      </w:r>
    </w:p>
    <w:p w:rsidR="00925651" w:rsidRPr="0031121B" w:rsidRDefault="00726FDE" w:rsidP="00700BFC">
      <w:pPr>
        <w:spacing w:after="0" w:line="360" w:lineRule="auto"/>
        <w:jc w:val="both"/>
        <w:rPr>
          <w:sz w:val="24"/>
          <w:szCs w:val="24"/>
        </w:rPr>
      </w:pPr>
      <w:r w:rsidRPr="0031121B">
        <w:rPr>
          <w:sz w:val="24"/>
          <w:szCs w:val="24"/>
        </w:rPr>
        <w:t>Όσον αφορά τις επενδύσεις</w:t>
      </w:r>
      <w:r w:rsidR="007E7529">
        <w:rPr>
          <w:sz w:val="24"/>
          <w:szCs w:val="24"/>
        </w:rPr>
        <w:t>,</w:t>
      </w:r>
      <w:r w:rsidRPr="0031121B">
        <w:rPr>
          <w:sz w:val="24"/>
          <w:szCs w:val="24"/>
        </w:rPr>
        <w:t xml:space="preserve"> το 13% των μικρών και </w:t>
      </w:r>
      <w:r w:rsidR="007E7529">
        <w:rPr>
          <w:sz w:val="24"/>
          <w:szCs w:val="24"/>
        </w:rPr>
        <w:t>πολύ μικρών επιχειρήσεων δήλωσε ότι θα πραγματοποιήσει</w:t>
      </w:r>
      <w:r w:rsidRPr="0031121B">
        <w:rPr>
          <w:sz w:val="24"/>
          <w:szCs w:val="24"/>
        </w:rPr>
        <w:t xml:space="preserve"> κάποιας μορφής επένδυση το δεύτερο εξάμηνο του 2022.</w:t>
      </w:r>
      <w:r w:rsidR="00925651" w:rsidRPr="0031121B">
        <w:rPr>
          <w:sz w:val="24"/>
          <w:szCs w:val="24"/>
        </w:rPr>
        <w:t xml:space="preserve"> Από τα επιμέρους στοιχεία οι μεταποιη</w:t>
      </w:r>
      <w:r w:rsidR="00C721D3">
        <w:rPr>
          <w:sz w:val="24"/>
          <w:szCs w:val="24"/>
        </w:rPr>
        <w:t xml:space="preserve">τικές επιχειρήσεις καταγράφουν </w:t>
      </w:r>
      <w:r w:rsidR="00925651" w:rsidRPr="0031121B">
        <w:rPr>
          <w:sz w:val="24"/>
          <w:szCs w:val="24"/>
        </w:rPr>
        <w:t>το υψηλότερο ποσοστό μεταξύ των επιχειρήσεων του κλάδου που θα πραγματοποιήσουν επενδύσεις το επόμενο εξάμηνο (15,5%) και ακολουθεί ο τομέ</w:t>
      </w:r>
      <w:r w:rsidR="00C721D3">
        <w:rPr>
          <w:sz w:val="24"/>
          <w:szCs w:val="24"/>
        </w:rPr>
        <w:t>α</w:t>
      </w:r>
      <w:r w:rsidR="00925651" w:rsidRPr="0031121B">
        <w:rPr>
          <w:sz w:val="24"/>
          <w:szCs w:val="24"/>
        </w:rPr>
        <w:t xml:space="preserve">ς των υπηρεσιών (14,2%).  Επιπλέον, οι μεγαλύτερες με βάση τον αριθμό εργαζομένων και τον κύκλο εργασιών επιχειρήσεις καταγράφουν σημαντικά μεγαλύτερα ποσοστά όσον αφορά την πρόθεση επένδυσης το επόμενο εξάμηνο σε σχέση με τις υπόλοιπες επιχειρήσεις (28,8% των επιχειρήσεων με 10-49 εργαζόμενους και </w:t>
      </w:r>
      <w:r w:rsidR="00C721D3">
        <w:rPr>
          <w:sz w:val="24"/>
          <w:szCs w:val="24"/>
        </w:rPr>
        <w:t>30,7% των επιχειρήσεων με κύκλο εργασιών πάνω από 300.000 €).</w:t>
      </w:r>
    </w:p>
    <w:p w:rsidR="00726FDE" w:rsidRPr="00EC407A" w:rsidRDefault="00726FDE" w:rsidP="00700BFC"/>
    <w:p w:rsidR="00EC407A" w:rsidRPr="00EC407A" w:rsidRDefault="0003191B" w:rsidP="00700BFC">
      <w:pPr>
        <w:rPr>
          <w:b/>
        </w:rPr>
      </w:pPr>
      <w:r>
        <w:rPr>
          <w:noProof/>
        </w:rPr>
        <w:lastRenderedPageBreak/>
        <w:drawing>
          <wp:inline distT="0" distB="0" distL="0" distR="0" wp14:anchorId="3E218C73" wp14:editId="2815E6AE">
            <wp:extent cx="6638925" cy="2533650"/>
            <wp:effectExtent l="0" t="0" r="9525" b="19050"/>
            <wp:docPr id="59" name="Γράφημα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5200E" w:rsidRPr="0031121B" w:rsidRDefault="00EC407A" w:rsidP="00700BFC">
      <w:pPr>
        <w:spacing w:after="0" w:line="360" w:lineRule="auto"/>
        <w:jc w:val="both"/>
        <w:rPr>
          <w:sz w:val="24"/>
          <w:szCs w:val="24"/>
        </w:rPr>
      </w:pPr>
      <w:r w:rsidRPr="0031121B">
        <w:rPr>
          <w:sz w:val="24"/>
          <w:szCs w:val="24"/>
        </w:rPr>
        <w:t>Παρά τις επιπτώσεις του πολέμου στην Ουκρανία αλλά και την πρόσφατη αύξηση του κατώτατου μισθού κατά 7,2% τον Μάιο του 2022, οι εκτιμήσεις των επιχειρήσεων όσον αφορά στο προσωπικό τους για το 2</w:t>
      </w:r>
      <w:r w:rsidRPr="0031121B">
        <w:rPr>
          <w:sz w:val="24"/>
          <w:szCs w:val="24"/>
          <w:vertAlign w:val="superscript"/>
        </w:rPr>
        <w:t>ο</w:t>
      </w:r>
      <w:r w:rsidRPr="0031121B">
        <w:rPr>
          <w:sz w:val="24"/>
          <w:szCs w:val="24"/>
        </w:rPr>
        <w:t xml:space="preserve"> εξάμηνο του 2022 </w:t>
      </w:r>
      <w:r w:rsidR="00B5200E" w:rsidRPr="0031121B">
        <w:rPr>
          <w:sz w:val="24"/>
          <w:szCs w:val="24"/>
        </w:rPr>
        <w:t xml:space="preserve">είναι θετικές </w:t>
      </w:r>
      <w:r w:rsidRPr="0031121B">
        <w:rPr>
          <w:sz w:val="24"/>
          <w:szCs w:val="24"/>
        </w:rPr>
        <w:t xml:space="preserve">δεδομένου ότι </w:t>
      </w:r>
      <w:r w:rsidR="007E7529">
        <w:rPr>
          <w:sz w:val="24"/>
          <w:szCs w:val="24"/>
        </w:rPr>
        <w:t xml:space="preserve">το </w:t>
      </w:r>
      <w:r w:rsidRPr="0031121B">
        <w:rPr>
          <w:sz w:val="24"/>
          <w:szCs w:val="24"/>
        </w:rPr>
        <w:t xml:space="preserve">7,9% </w:t>
      </w:r>
      <w:r w:rsidR="007E7529">
        <w:rPr>
          <w:sz w:val="24"/>
          <w:szCs w:val="24"/>
        </w:rPr>
        <w:t>των επιχειρήσεων δήλωσε</w:t>
      </w:r>
      <w:r w:rsidRPr="0031121B">
        <w:rPr>
          <w:sz w:val="24"/>
          <w:szCs w:val="24"/>
        </w:rPr>
        <w:t xml:space="preserve"> ότι</w:t>
      </w:r>
      <w:r w:rsidR="007E7529">
        <w:rPr>
          <w:sz w:val="24"/>
          <w:szCs w:val="24"/>
        </w:rPr>
        <w:t xml:space="preserve"> θα αυξήσει το προσωπικό του</w:t>
      </w:r>
      <w:r w:rsidR="00B5200E" w:rsidRPr="0031121B">
        <w:rPr>
          <w:sz w:val="24"/>
          <w:szCs w:val="24"/>
        </w:rPr>
        <w:t xml:space="preserve"> έναντι του </w:t>
      </w:r>
      <w:r w:rsidRPr="0031121B">
        <w:rPr>
          <w:sz w:val="24"/>
          <w:szCs w:val="24"/>
        </w:rPr>
        <w:t xml:space="preserve">6,7% </w:t>
      </w:r>
      <w:r w:rsidR="00B5200E" w:rsidRPr="0031121B">
        <w:rPr>
          <w:sz w:val="24"/>
          <w:szCs w:val="24"/>
        </w:rPr>
        <w:t xml:space="preserve">που δήλωσε </w:t>
      </w:r>
      <w:r w:rsidRPr="0031121B">
        <w:rPr>
          <w:sz w:val="24"/>
          <w:szCs w:val="24"/>
        </w:rPr>
        <w:t>ότι θα το μειώσ</w:t>
      </w:r>
      <w:r w:rsidR="00B5200E" w:rsidRPr="0031121B">
        <w:rPr>
          <w:sz w:val="24"/>
          <w:szCs w:val="24"/>
        </w:rPr>
        <w:t>ει,</w:t>
      </w:r>
      <w:r w:rsidRPr="0031121B">
        <w:rPr>
          <w:sz w:val="24"/>
          <w:szCs w:val="24"/>
        </w:rPr>
        <w:t xml:space="preserve"> ενώ η συντριπτική </w:t>
      </w:r>
      <w:r w:rsidR="00B5200E" w:rsidRPr="0031121B">
        <w:rPr>
          <w:sz w:val="24"/>
          <w:szCs w:val="24"/>
        </w:rPr>
        <w:t xml:space="preserve">πλειονότητα </w:t>
      </w:r>
      <w:r w:rsidRPr="0031121B">
        <w:rPr>
          <w:sz w:val="24"/>
          <w:szCs w:val="24"/>
        </w:rPr>
        <w:t>δήλωσε ότι θα παραμείνει αμετάβλητο. Δεδομένου ότι οι προσλήψεις σε επιχειρήσεις που σχετίζονται με τον τουρισμό παραδοσιακά γίνονται από τα τέλη του 1</w:t>
      </w:r>
      <w:r w:rsidRPr="0031121B">
        <w:rPr>
          <w:sz w:val="24"/>
          <w:szCs w:val="24"/>
          <w:vertAlign w:val="superscript"/>
        </w:rPr>
        <w:t>ο</w:t>
      </w:r>
      <w:r w:rsidRPr="0031121B">
        <w:rPr>
          <w:sz w:val="24"/>
          <w:szCs w:val="24"/>
        </w:rPr>
        <w:t xml:space="preserve"> εξαμήνου, μόνο ως θετική θα μπορούσε να χαρακτηριστεί αυτή η εξέλιξη και πιθανότατα δεν σχετίζεται με κάποια εποχικότητα αλλά με μία ευρύτερη τάση ανάκαμψης της οικονομίας από την ύφεση της πανδημίας αλλά και από την βαθύτερη 10ετή ύφεση που βιώσαμε μετά την κρίση χρέους.</w:t>
      </w:r>
    </w:p>
    <w:p w:rsidR="00EC407A" w:rsidRPr="0031121B" w:rsidRDefault="00EC407A" w:rsidP="00700BFC">
      <w:pPr>
        <w:spacing w:after="0" w:line="360" w:lineRule="auto"/>
        <w:jc w:val="both"/>
        <w:rPr>
          <w:sz w:val="24"/>
          <w:szCs w:val="24"/>
        </w:rPr>
      </w:pPr>
      <w:r w:rsidRPr="0031121B">
        <w:rPr>
          <w:sz w:val="24"/>
          <w:szCs w:val="24"/>
        </w:rPr>
        <w:t>Η τάση αυτή παρατηρείται και στις εαρινές προβλέψεις της Ευρωπαϊκής Επιτροπής</w:t>
      </w:r>
      <w:r w:rsidR="00D7535C">
        <w:rPr>
          <w:rStyle w:val="a9"/>
          <w:sz w:val="24"/>
          <w:szCs w:val="24"/>
        </w:rPr>
        <w:footnoteReference w:id="3"/>
      </w:r>
      <w:r w:rsidR="00C721D3">
        <w:rPr>
          <w:sz w:val="24"/>
          <w:szCs w:val="24"/>
        </w:rPr>
        <w:t>,</w:t>
      </w:r>
      <w:r w:rsidRPr="0031121B">
        <w:rPr>
          <w:sz w:val="24"/>
          <w:szCs w:val="24"/>
        </w:rPr>
        <w:t xml:space="preserve"> η οποία διαβλέπει συνέχιση της αύξηση της απασχόλησης στην Ελλάδα ειδικά στην μεταποίηση και στην αγροτική παραγωγή παρά την γενικότερη αρνητική συγκυρία. </w:t>
      </w:r>
    </w:p>
    <w:p w:rsidR="00EC407A" w:rsidRPr="00EC407A" w:rsidRDefault="0003191B" w:rsidP="00700BFC">
      <w:pPr>
        <w:rPr>
          <w:b/>
        </w:rPr>
      </w:pPr>
      <w:r>
        <w:rPr>
          <w:noProof/>
        </w:rPr>
        <w:lastRenderedPageBreak/>
        <w:drawing>
          <wp:inline distT="0" distB="0" distL="0" distR="0" wp14:anchorId="6B3F5EF3" wp14:editId="792A83E3">
            <wp:extent cx="6553200" cy="2295525"/>
            <wp:effectExtent l="0" t="0" r="19050" b="9525"/>
            <wp:docPr id="60" name="Γράφημα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401D3" w:rsidRPr="0031121B" w:rsidRDefault="00EC407A" w:rsidP="00700BFC">
      <w:pPr>
        <w:spacing w:after="0" w:line="360" w:lineRule="auto"/>
        <w:jc w:val="both"/>
        <w:rPr>
          <w:sz w:val="24"/>
          <w:szCs w:val="24"/>
        </w:rPr>
      </w:pPr>
      <w:r w:rsidRPr="0031121B">
        <w:rPr>
          <w:sz w:val="24"/>
          <w:szCs w:val="24"/>
        </w:rPr>
        <w:t xml:space="preserve">Σε κλαδικό επίπεδο, οι εκτιμήσεις για αύξηση της απασχόλησης είναι θετικότερες στον τομέα της μεταποίησης (8,3% αύξηση έναντι 4,7% μείωση), ακολουθούν οι υπηρεσίες με 9,4% αύξηση με 8,7% μείωση.  Σημαντική εξαίρεση και πάλι στον ευρύτερο τομέα των υπηρεσιών αποτελεί ο </w:t>
      </w:r>
      <w:proofErr w:type="spellStart"/>
      <w:r w:rsidRPr="0031121B">
        <w:rPr>
          <w:sz w:val="24"/>
          <w:szCs w:val="24"/>
        </w:rPr>
        <w:t>υποκλάδος</w:t>
      </w:r>
      <w:proofErr w:type="spellEnd"/>
      <w:r w:rsidRPr="0031121B">
        <w:rPr>
          <w:sz w:val="24"/>
          <w:szCs w:val="24"/>
        </w:rPr>
        <w:t xml:space="preserve"> της εστίασης στον οποίο οι προβλέψεις για μείωση προσωπικού (15,1%) είναι υπερτριπλάσιες των προβλέψεων για αύξηση (4,1%)  κάτι το οποίο επιβεβαιώνει ότι η διαφαινόμενη αύξηση της απασχόλησης δεν είναι μία εποχιακή τάση που σχετίζεται με την τουριστική περίοδο. </w:t>
      </w:r>
      <w:r w:rsidR="00A04959" w:rsidRPr="0031121B">
        <w:rPr>
          <w:sz w:val="24"/>
          <w:szCs w:val="24"/>
        </w:rPr>
        <w:t>Όσον αφορά</w:t>
      </w:r>
      <w:r w:rsidRPr="0031121B">
        <w:rPr>
          <w:sz w:val="24"/>
          <w:szCs w:val="24"/>
        </w:rPr>
        <w:t xml:space="preserve"> την γεωγ</w:t>
      </w:r>
      <w:r w:rsidR="00C721D3">
        <w:rPr>
          <w:sz w:val="24"/>
          <w:szCs w:val="24"/>
        </w:rPr>
        <w:t>ραφική κατανομή των εκτιμήσεων,</w:t>
      </w:r>
      <w:r w:rsidRPr="0031121B">
        <w:rPr>
          <w:sz w:val="24"/>
          <w:szCs w:val="24"/>
        </w:rPr>
        <w:t xml:space="preserve"> η μεγαλύτερη διαφορά μεταξύ θετικών και αρνητικών εκτιμήσεων καταγράφεται</w:t>
      </w:r>
      <w:r w:rsidR="00A04959" w:rsidRPr="0031121B">
        <w:rPr>
          <w:sz w:val="24"/>
          <w:szCs w:val="24"/>
        </w:rPr>
        <w:t xml:space="preserve"> στην Αττική (10% έναντι 5,50%) και </w:t>
      </w:r>
      <w:r w:rsidRPr="0031121B">
        <w:rPr>
          <w:sz w:val="24"/>
          <w:szCs w:val="24"/>
        </w:rPr>
        <w:t xml:space="preserve"> ακολουθεί η Βόρεια Ελλάδα (7,8% έναντι 6%). Τέλος</w:t>
      </w:r>
      <w:r w:rsidR="00726FDE" w:rsidRPr="0031121B">
        <w:rPr>
          <w:sz w:val="24"/>
          <w:szCs w:val="24"/>
        </w:rPr>
        <w:t>,</w:t>
      </w:r>
      <w:r w:rsidRPr="0031121B">
        <w:rPr>
          <w:sz w:val="24"/>
          <w:szCs w:val="24"/>
        </w:rPr>
        <w:t xml:space="preserve"> μεγαλύτερο δυναμισμό ως προς τη δημιουργία νέων θέσεων καταγράφουν οι μεγαλύτερες </w:t>
      </w:r>
      <w:r w:rsidR="00726FDE" w:rsidRPr="0031121B">
        <w:rPr>
          <w:sz w:val="24"/>
          <w:szCs w:val="24"/>
        </w:rPr>
        <w:t>με βάση τον κύκλο εργασιών και τον αριθμό εργαζομένων επιχειρήσεις.</w:t>
      </w:r>
    </w:p>
    <w:tbl>
      <w:tblPr>
        <w:tblW w:w="5000" w:type="pct"/>
        <w:tblLook w:val="04A0" w:firstRow="1" w:lastRow="0" w:firstColumn="1" w:lastColumn="0" w:noHBand="0" w:noVBand="1"/>
      </w:tblPr>
      <w:tblGrid>
        <w:gridCol w:w="3031"/>
        <w:gridCol w:w="1006"/>
        <w:gridCol w:w="369"/>
        <w:gridCol w:w="741"/>
        <w:gridCol w:w="504"/>
        <w:gridCol w:w="431"/>
        <w:gridCol w:w="613"/>
        <w:gridCol w:w="263"/>
        <w:gridCol w:w="740"/>
        <w:gridCol w:w="141"/>
        <w:gridCol w:w="861"/>
        <w:gridCol w:w="43"/>
        <w:gridCol w:w="867"/>
        <w:gridCol w:w="107"/>
        <w:gridCol w:w="988"/>
      </w:tblGrid>
      <w:tr w:rsidR="00EC407A" w:rsidRPr="00EC407A" w:rsidTr="00EC407A">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t>ΠΙΝΑΚΑΣ 1</w:t>
            </w:r>
            <w:r w:rsidR="00AC6997" w:rsidRPr="00AC6997">
              <w:rPr>
                <w:rFonts w:ascii="Calibri" w:eastAsia="Times New Roman" w:hAnsi="Calibri" w:cs="Calibri"/>
                <w:b/>
                <w:bCs/>
                <w:color w:val="000000"/>
                <w:sz w:val="24"/>
                <w:szCs w:val="24"/>
              </w:rPr>
              <w:t>2</w:t>
            </w:r>
          </w:p>
          <w:p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EC407A">
              <w:rPr>
                <w:rFonts w:ascii="Calibri" w:eastAsia="Times New Roman" w:hAnsi="Calibri" w:cs="Calibri"/>
                <w:b/>
                <w:bCs/>
                <w:color w:val="000000"/>
                <w:sz w:val="24"/>
                <w:szCs w:val="24"/>
              </w:rPr>
              <w:t>Εκτίμηση επιχειρήσεων για το προσωπικό τους το δεύτερο εξάμηνο του 2022 ανά κατηγορία επιχειρήσεων</w:t>
            </w:r>
          </w:p>
        </w:tc>
      </w:tr>
      <w:tr w:rsidR="00726FDE" w:rsidRPr="00726FDE" w:rsidTr="00726FDE">
        <w:trPr>
          <w:trHeight w:val="300"/>
        </w:trPr>
        <w:tc>
          <w:tcPr>
            <w:tcW w:w="1427" w:type="pct"/>
            <w:vMerge w:val="restart"/>
            <w:tcBorders>
              <w:top w:val="single" w:sz="4" w:space="0" w:color="auto"/>
              <w:left w:val="single" w:sz="4" w:space="0" w:color="auto"/>
              <w:bottom w:val="single" w:sz="4" w:space="0" w:color="000000"/>
              <w:right w:val="single" w:sz="4" w:space="0" w:color="auto"/>
            </w:tcBorders>
            <w:shd w:val="clear" w:color="D9E1F2" w:fill="D9E1F2"/>
            <w:noWrap/>
            <w:vAlign w:val="bottom"/>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 </w:t>
            </w:r>
          </w:p>
        </w:tc>
        <w:tc>
          <w:tcPr>
            <w:tcW w:w="1707" w:type="pct"/>
            <w:gridSpan w:val="6"/>
            <w:tcBorders>
              <w:top w:val="single" w:sz="4" w:space="0" w:color="auto"/>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ΚΛΑΔΟΣ</w:t>
            </w:r>
          </w:p>
        </w:tc>
        <w:tc>
          <w:tcPr>
            <w:tcW w:w="1866" w:type="pct"/>
            <w:gridSpan w:val="8"/>
            <w:tcBorders>
              <w:top w:val="single" w:sz="4" w:space="0" w:color="auto"/>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 xml:space="preserve">ΕΤΗΣΙΟΣ ΚΥΚΛΟΣ ΕΡΓΑΣΙΩΝ </w:t>
            </w:r>
          </w:p>
        </w:tc>
      </w:tr>
      <w:tr w:rsidR="00726FDE" w:rsidRPr="00726FDE" w:rsidTr="00726FDE">
        <w:trPr>
          <w:trHeight w:val="600"/>
        </w:trPr>
        <w:tc>
          <w:tcPr>
            <w:tcW w:w="1427" w:type="pct"/>
            <w:vMerge/>
            <w:tcBorders>
              <w:top w:val="single" w:sz="4" w:space="0" w:color="auto"/>
              <w:left w:val="single" w:sz="4" w:space="0" w:color="auto"/>
              <w:bottom w:val="single" w:sz="4" w:space="0" w:color="000000"/>
              <w:right w:val="single" w:sz="4" w:space="0" w:color="auto"/>
            </w:tcBorders>
            <w:vAlign w:val="center"/>
            <w:hideMark/>
          </w:tcPr>
          <w:p w:rsidR="00726FDE" w:rsidRPr="00726FDE" w:rsidRDefault="00726FDE" w:rsidP="00700BFC">
            <w:pPr>
              <w:spacing w:after="0" w:line="240" w:lineRule="auto"/>
              <w:rPr>
                <w:rFonts w:ascii="Calibri" w:eastAsia="Times New Roman" w:hAnsi="Calibri" w:cs="Calibri"/>
                <w:b/>
                <w:bCs/>
                <w:color w:val="000000"/>
                <w:sz w:val="16"/>
                <w:szCs w:val="16"/>
              </w:rPr>
            </w:pPr>
          </w:p>
        </w:tc>
        <w:tc>
          <w:tcPr>
            <w:tcW w:w="641"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Εμπόριο</w:t>
            </w:r>
          </w:p>
        </w:tc>
        <w:tc>
          <w:tcPr>
            <w:tcW w:w="580"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Μεταποίηση</w:t>
            </w:r>
          </w:p>
        </w:tc>
        <w:tc>
          <w:tcPr>
            <w:tcW w:w="486"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Υπηρεσίες</w:t>
            </w:r>
          </w:p>
        </w:tc>
        <w:tc>
          <w:tcPr>
            <w:tcW w:w="467"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Έως 50.000 €</w:t>
            </w:r>
          </w:p>
        </w:tc>
        <w:tc>
          <w:tcPr>
            <w:tcW w:w="466"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50.000 - 100.000 €</w:t>
            </w:r>
          </w:p>
        </w:tc>
        <w:tc>
          <w:tcPr>
            <w:tcW w:w="470" w:type="pct"/>
            <w:gridSpan w:val="3"/>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100.001 - 300.000 €</w:t>
            </w:r>
          </w:p>
        </w:tc>
        <w:tc>
          <w:tcPr>
            <w:tcW w:w="463" w:type="pct"/>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Πάνω από 300.000 €</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αυξηθεί </w:t>
            </w:r>
          </w:p>
        </w:tc>
        <w:tc>
          <w:tcPr>
            <w:tcW w:w="641"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6,0%</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8,3%</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9,4%</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4,8%</w:t>
            </w:r>
          </w:p>
        </w:tc>
        <w:tc>
          <w:tcPr>
            <w:tcW w:w="46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8,2%</w:t>
            </w:r>
          </w:p>
        </w:tc>
        <w:tc>
          <w:tcPr>
            <w:tcW w:w="470" w:type="pct"/>
            <w:gridSpan w:val="3"/>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8,7%</w:t>
            </w:r>
          </w:p>
        </w:tc>
        <w:tc>
          <w:tcPr>
            <w:tcW w:w="463"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15,4%</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Δεν θα μεταβληθεί</w:t>
            </w:r>
          </w:p>
        </w:tc>
        <w:tc>
          <w:tcPr>
            <w:tcW w:w="641"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85,6%</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80,8%</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79,0%</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88,0%</w:t>
            </w:r>
          </w:p>
        </w:tc>
        <w:tc>
          <w:tcPr>
            <w:tcW w:w="46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79,1%</w:t>
            </w:r>
          </w:p>
        </w:tc>
        <w:tc>
          <w:tcPr>
            <w:tcW w:w="470" w:type="pct"/>
            <w:gridSpan w:val="3"/>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80,4%</w:t>
            </w:r>
          </w:p>
        </w:tc>
        <w:tc>
          <w:tcPr>
            <w:tcW w:w="463"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70,2%</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μειωθεί </w:t>
            </w:r>
          </w:p>
        </w:tc>
        <w:tc>
          <w:tcPr>
            <w:tcW w:w="641"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6,0%</w:t>
            </w:r>
          </w:p>
        </w:tc>
        <w:tc>
          <w:tcPr>
            <w:tcW w:w="58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4,7%</w:t>
            </w:r>
          </w:p>
        </w:tc>
        <w:tc>
          <w:tcPr>
            <w:tcW w:w="48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8,7%</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4,5%</w:t>
            </w:r>
          </w:p>
        </w:tc>
        <w:tc>
          <w:tcPr>
            <w:tcW w:w="46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10,4%</w:t>
            </w:r>
          </w:p>
        </w:tc>
        <w:tc>
          <w:tcPr>
            <w:tcW w:w="470" w:type="pct"/>
            <w:gridSpan w:val="3"/>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w:t>
            </w:r>
          </w:p>
        </w:tc>
        <w:tc>
          <w:tcPr>
            <w:tcW w:w="463"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8,7%</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ΔΞ/ΔΑ</w:t>
            </w:r>
          </w:p>
        </w:tc>
        <w:tc>
          <w:tcPr>
            <w:tcW w:w="641" w:type="pct"/>
            <w:gridSpan w:val="2"/>
            <w:tcBorders>
              <w:top w:val="nil"/>
              <w:left w:val="nil"/>
              <w:bottom w:val="single" w:sz="4" w:space="0" w:color="auto"/>
              <w:right w:val="single" w:sz="4" w:space="0" w:color="auto"/>
            </w:tcBorders>
            <w:shd w:val="clear" w:color="auto" w:fill="auto"/>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2,3%</w:t>
            </w:r>
          </w:p>
        </w:tc>
        <w:tc>
          <w:tcPr>
            <w:tcW w:w="580" w:type="pct"/>
            <w:gridSpan w:val="2"/>
            <w:tcBorders>
              <w:top w:val="nil"/>
              <w:left w:val="nil"/>
              <w:bottom w:val="single" w:sz="4" w:space="0" w:color="auto"/>
              <w:right w:val="single" w:sz="4" w:space="0" w:color="auto"/>
            </w:tcBorders>
            <w:shd w:val="clear" w:color="auto" w:fill="auto"/>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6,2%</w:t>
            </w:r>
          </w:p>
        </w:tc>
        <w:tc>
          <w:tcPr>
            <w:tcW w:w="486" w:type="pct"/>
            <w:gridSpan w:val="2"/>
            <w:tcBorders>
              <w:top w:val="nil"/>
              <w:left w:val="nil"/>
              <w:bottom w:val="single" w:sz="4" w:space="0" w:color="auto"/>
              <w:right w:val="single" w:sz="4" w:space="0" w:color="auto"/>
            </w:tcBorders>
            <w:shd w:val="clear" w:color="auto" w:fill="auto"/>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2,9%</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2,8%</w:t>
            </w:r>
          </w:p>
        </w:tc>
        <w:tc>
          <w:tcPr>
            <w:tcW w:w="46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2,2%</w:t>
            </w:r>
          </w:p>
        </w:tc>
        <w:tc>
          <w:tcPr>
            <w:tcW w:w="470" w:type="pct"/>
            <w:gridSpan w:val="3"/>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2,9%</w:t>
            </w:r>
          </w:p>
        </w:tc>
        <w:tc>
          <w:tcPr>
            <w:tcW w:w="463"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5,8%</w:t>
            </w:r>
          </w:p>
        </w:tc>
      </w:tr>
      <w:tr w:rsidR="00726FDE" w:rsidRPr="00726FDE" w:rsidTr="00726FDE">
        <w:trPr>
          <w:trHeight w:val="300"/>
        </w:trPr>
        <w:tc>
          <w:tcPr>
            <w:tcW w:w="1427" w:type="pct"/>
            <w:vMerge w:val="restart"/>
            <w:tcBorders>
              <w:top w:val="nil"/>
              <w:left w:val="single" w:sz="4" w:space="0" w:color="auto"/>
              <w:bottom w:val="single" w:sz="4" w:space="0" w:color="000000"/>
              <w:right w:val="single" w:sz="4" w:space="0" w:color="auto"/>
            </w:tcBorders>
            <w:shd w:val="clear" w:color="D9E1F2" w:fill="D9E1F2"/>
            <w:noWrap/>
            <w:vAlign w:val="bottom"/>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 </w:t>
            </w:r>
          </w:p>
        </w:tc>
        <w:tc>
          <w:tcPr>
            <w:tcW w:w="1421" w:type="pct"/>
            <w:gridSpan w:val="5"/>
            <w:tcBorders>
              <w:top w:val="single" w:sz="4" w:space="0" w:color="auto"/>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ΑΡΙΘΜΟΣ ΕΡΓΑΖΟΜΕΝΩΝ</w:t>
            </w:r>
          </w:p>
        </w:tc>
        <w:tc>
          <w:tcPr>
            <w:tcW w:w="1642" w:type="pct"/>
            <w:gridSpan w:val="7"/>
            <w:tcBorders>
              <w:top w:val="single" w:sz="4" w:space="0" w:color="auto"/>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ΓΕΩΓΡΑΦΙΚΗ ΠΕΡΙΟΧΗ</w:t>
            </w:r>
          </w:p>
        </w:tc>
        <w:tc>
          <w:tcPr>
            <w:tcW w:w="510" w:type="pct"/>
            <w:gridSpan w:val="2"/>
            <w:tcBorders>
              <w:top w:val="single" w:sz="4" w:space="0" w:color="auto"/>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ΥΠΟΚΛΑΔΟΣ</w:t>
            </w:r>
          </w:p>
        </w:tc>
      </w:tr>
      <w:tr w:rsidR="00726FDE" w:rsidRPr="00726FDE" w:rsidTr="00726FDE">
        <w:trPr>
          <w:trHeight w:val="900"/>
        </w:trPr>
        <w:tc>
          <w:tcPr>
            <w:tcW w:w="1427" w:type="pct"/>
            <w:vMerge/>
            <w:tcBorders>
              <w:top w:val="nil"/>
              <w:left w:val="single" w:sz="4" w:space="0" w:color="auto"/>
              <w:bottom w:val="single" w:sz="4" w:space="0" w:color="000000"/>
              <w:right w:val="single" w:sz="4" w:space="0" w:color="auto"/>
            </w:tcBorders>
            <w:vAlign w:val="center"/>
            <w:hideMark/>
          </w:tcPr>
          <w:p w:rsidR="00726FDE" w:rsidRPr="00726FDE" w:rsidRDefault="00726FDE" w:rsidP="00700BFC">
            <w:pPr>
              <w:spacing w:after="0" w:line="240" w:lineRule="auto"/>
              <w:rPr>
                <w:rFonts w:ascii="Calibri" w:eastAsia="Times New Roman" w:hAnsi="Calibri" w:cs="Calibri"/>
                <w:b/>
                <w:bCs/>
                <w:color w:val="000000"/>
                <w:sz w:val="16"/>
                <w:szCs w:val="16"/>
              </w:rPr>
            </w:pPr>
          </w:p>
        </w:tc>
        <w:tc>
          <w:tcPr>
            <w:tcW w:w="471" w:type="pct"/>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Χωρίς προσωπικό</w:t>
            </w:r>
          </w:p>
        </w:tc>
        <w:tc>
          <w:tcPr>
            <w:tcW w:w="516"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1 έως 9</w:t>
            </w:r>
          </w:p>
        </w:tc>
        <w:tc>
          <w:tcPr>
            <w:tcW w:w="434"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10 έως 49</w:t>
            </w:r>
          </w:p>
        </w:tc>
        <w:tc>
          <w:tcPr>
            <w:tcW w:w="407"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EL3 ΑΤΤΙΚΗ</w:t>
            </w:r>
          </w:p>
        </w:tc>
        <w:tc>
          <w:tcPr>
            <w:tcW w:w="409"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EL5 ΒΟΡΕΙΑ ΕΛΛΑΔΑ</w:t>
            </w:r>
          </w:p>
        </w:tc>
        <w:tc>
          <w:tcPr>
            <w:tcW w:w="420"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EL6 ΚΕΝΤΡΙΚΗ ΕΛΛΑΔΑ</w:t>
            </w:r>
          </w:p>
        </w:tc>
        <w:tc>
          <w:tcPr>
            <w:tcW w:w="406" w:type="pct"/>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EL4 ΝΗΣΙΑ ΑΙΓΑΙΟΥ &amp; ΚΡΗΤΗ</w:t>
            </w:r>
          </w:p>
        </w:tc>
        <w:tc>
          <w:tcPr>
            <w:tcW w:w="510" w:type="pct"/>
            <w:gridSpan w:val="2"/>
            <w:tcBorders>
              <w:top w:val="nil"/>
              <w:left w:val="nil"/>
              <w:bottom w:val="single" w:sz="4" w:space="0" w:color="auto"/>
              <w:right w:val="single" w:sz="4" w:space="0" w:color="auto"/>
            </w:tcBorders>
            <w:shd w:val="clear" w:color="D9E1F2" w:fill="D9E1F2"/>
            <w:vAlign w:val="center"/>
            <w:hideMark/>
          </w:tcPr>
          <w:p w:rsidR="00726FDE" w:rsidRPr="00726FDE" w:rsidRDefault="00726FDE" w:rsidP="00700BFC">
            <w:pPr>
              <w:spacing w:after="0" w:line="240" w:lineRule="auto"/>
              <w:jc w:val="center"/>
              <w:rPr>
                <w:rFonts w:ascii="Calibri" w:eastAsia="Times New Roman" w:hAnsi="Calibri" w:cs="Calibri"/>
                <w:b/>
                <w:bCs/>
                <w:color w:val="000000"/>
                <w:sz w:val="16"/>
                <w:szCs w:val="16"/>
              </w:rPr>
            </w:pPr>
            <w:r w:rsidRPr="00726FDE">
              <w:rPr>
                <w:rFonts w:ascii="Calibri" w:eastAsia="Times New Roman" w:hAnsi="Calibri" w:cs="Calibri"/>
                <w:b/>
                <w:bCs/>
                <w:color w:val="000000"/>
                <w:sz w:val="16"/>
                <w:szCs w:val="16"/>
              </w:rPr>
              <w:t>Εστίαση</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αυξηθεί </w:t>
            </w:r>
          </w:p>
        </w:tc>
        <w:tc>
          <w:tcPr>
            <w:tcW w:w="471"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4,3%</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8,8%</w:t>
            </w:r>
          </w:p>
        </w:tc>
        <w:tc>
          <w:tcPr>
            <w:tcW w:w="434"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19,2%</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10,0%</w:t>
            </w:r>
          </w:p>
        </w:tc>
        <w:tc>
          <w:tcPr>
            <w:tcW w:w="409"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7,8%</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5,3%</w:t>
            </w:r>
          </w:p>
        </w:tc>
        <w:tc>
          <w:tcPr>
            <w:tcW w:w="406"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6,7%</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4,1%</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Δεν θα μεταβληθεί</w:t>
            </w:r>
          </w:p>
        </w:tc>
        <w:tc>
          <w:tcPr>
            <w:tcW w:w="471"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77,6%</w:t>
            </w:r>
          </w:p>
        </w:tc>
        <w:tc>
          <w:tcPr>
            <w:tcW w:w="434"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53,8%</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80,4%</w:t>
            </w:r>
          </w:p>
        </w:tc>
        <w:tc>
          <w:tcPr>
            <w:tcW w:w="409"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83,9%</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82,0%</w:t>
            </w:r>
          </w:p>
        </w:tc>
        <w:tc>
          <w:tcPr>
            <w:tcW w:w="406"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81,7%</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72,6%</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 xml:space="preserve">Θα μειωθεί </w:t>
            </w:r>
          </w:p>
        </w:tc>
        <w:tc>
          <w:tcPr>
            <w:tcW w:w="471"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9,5%</w:t>
            </w:r>
          </w:p>
        </w:tc>
        <w:tc>
          <w:tcPr>
            <w:tcW w:w="434"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19,2%</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5,5%</w:t>
            </w:r>
          </w:p>
        </w:tc>
        <w:tc>
          <w:tcPr>
            <w:tcW w:w="409"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6,0%</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10,1%</w:t>
            </w:r>
          </w:p>
        </w:tc>
        <w:tc>
          <w:tcPr>
            <w:tcW w:w="406"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5,8%</w:t>
            </w:r>
          </w:p>
        </w:tc>
        <w:tc>
          <w:tcPr>
            <w:tcW w:w="51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15,1%</w:t>
            </w:r>
          </w:p>
        </w:tc>
      </w:tr>
      <w:tr w:rsidR="00726FDE" w:rsidRPr="00726FDE" w:rsidTr="00726FDE">
        <w:trPr>
          <w:trHeight w:val="300"/>
        </w:trPr>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726FDE" w:rsidRPr="00726FDE" w:rsidRDefault="00726FDE" w:rsidP="00700BFC">
            <w:pPr>
              <w:spacing w:after="0" w:line="240" w:lineRule="auto"/>
              <w:rPr>
                <w:rFonts w:ascii="Calibri" w:eastAsia="Times New Roman" w:hAnsi="Calibri" w:cs="Calibri"/>
                <w:color w:val="000000"/>
                <w:sz w:val="16"/>
                <w:szCs w:val="16"/>
              </w:rPr>
            </w:pPr>
            <w:r w:rsidRPr="00726FDE">
              <w:rPr>
                <w:rFonts w:ascii="Calibri" w:eastAsia="Times New Roman" w:hAnsi="Calibri" w:cs="Calibri"/>
                <w:color w:val="000000"/>
                <w:sz w:val="16"/>
                <w:szCs w:val="16"/>
              </w:rPr>
              <w:t>ΔΞ/ΔΑ</w:t>
            </w:r>
          </w:p>
        </w:tc>
        <w:tc>
          <w:tcPr>
            <w:tcW w:w="471"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0,7%</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4,1%</w:t>
            </w:r>
          </w:p>
        </w:tc>
        <w:tc>
          <w:tcPr>
            <w:tcW w:w="434"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7,7%</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4,1%</w:t>
            </w:r>
          </w:p>
        </w:tc>
        <w:tc>
          <w:tcPr>
            <w:tcW w:w="409"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2,3%</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2,6%</w:t>
            </w:r>
          </w:p>
        </w:tc>
        <w:tc>
          <w:tcPr>
            <w:tcW w:w="406" w:type="pct"/>
            <w:tcBorders>
              <w:top w:val="nil"/>
              <w:left w:val="nil"/>
              <w:bottom w:val="single" w:sz="4" w:space="0" w:color="auto"/>
              <w:right w:val="single" w:sz="4" w:space="0" w:color="auto"/>
            </w:tcBorders>
            <w:shd w:val="clear" w:color="auto" w:fill="auto"/>
            <w:noWrap/>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5,8%</w:t>
            </w:r>
          </w:p>
        </w:tc>
        <w:tc>
          <w:tcPr>
            <w:tcW w:w="510" w:type="pct"/>
            <w:gridSpan w:val="2"/>
            <w:tcBorders>
              <w:top w:val="nil"/>
              <w:left w:val="nil"/>
              <w:bottom w:val="single" w:sz="4" w:space="0" w:color="auto"/>
              <w:right w:val="single" w:sz="4" w:space="0" w:color="auto"/>
            </w:tcBorders>
            <w:shd w:val="clear" w:color="auto" w:fill="auto"/>
            <w:vAlign w:val="center"/>
            <w:hideMark/>
          </w:tcPr>
          <w:p w:rsidR="00726FDE" w:rsidRPr="00726FDE" w:rsidRDefault="00726FDE" w:rsidP="00700BFC">
            <w:pPr>
              <w:spacing w:after="0" w:line="240" w:lineRule="auto"/>
              <w:jc w:val="center"/>
              <w:rPr>
                <w:rFonts w:ascii="Calibri" w:eastAsia="Times New Roman" w:hAnsi="Calibri" w:cs="Calibri"/>
                <w:color w:val="000000"/>
                <w:sz w:val="16"/>
                <w:szCs w:val="16"/>
              </w:rPr>
            </w:pPr>
            <w:r w:rsidRPr="00726FDE">
              <w:rPr>
                <w:rFonts w:ascii="Calibri" w:eastAsia="Times New Roman" w:hAnsi="Calibri" w:cs="Calibri"/>
                <w:color w:val="000000"/>
                <w:sz w:val="16"/>
                <w:szCs w:val="16"/>
              </w:rPr>
              <w:t>8,2%</w:t>
            </w:r>
          </w:p>
        </w:tc>
      </w:tr>
    </w:tbl>
    <w:p w:rsidR="00EC407A" w:rsidRPr="0031121B" w:rsidRDefault="00EC407A" w:rsidP="00700BFC">
      <w:pPr>
        <w:spacing w:after="0" w:line="360" w:lineRule="auto"/>
        <w:jc w:val="both"/>
        <w:rPr>
          <w:sz w:val="24"/>
          <w:szCs w:val="24"/>
        </w:rPr>
      </w:pPr>
      <w:r w:rsidRPr="0031121B">
        <w:rPr>
          <w:sz w:val="24"/>
          <w:szCs w:val="24"/>
        </w:rPr>
        <w:lastRenderedPageBreak/>
        <w:t xml:space="preserve">Η ανοδική τάση των τιμών φαίνεται πως θα συνεχιστεί και το επόμενο εξάμηνο με βάση τις προβλέψεις των επιχειρήσεων. Αν και το ισοζύγιο μεταξύ των επιχειρήσεων που θα αυξήσουν τις τιμές τους (38,7%) και αυτών που σκοπεύουν να τις μειώσουν (6,7%) </w:t>
      </w:r>
      <w:r w:rsidR="00C721D3">
        <w:rPr>
          <w:sz w:val="24"/>
          <w:szCs w:val="24"/>
        </w:rPr>
        <w:t>κλίνει</w:t>
      </w:r>
      <w:r w:rsidRPr="0031121B">
        <w:rPr>
          <w:sz w:val="24"/>
          <w:szCs w:val="24"/>
        </w:rPr>
        <w:t xml:space="preserve"> σημαντικά υπέρ των πρώτων, δεν μπορούμε να παραβλέψουμε ότι για πρώτη φορά οι επιχειρήσεις που προτίθενται να κάνουν αύξηση τιμών εμφανίζονται να μειώνονται μετά από συνεχόμενη αύξησή τους από τον Ιούλιο του 2020 ενώ έχουμε και μία μικρή αύξηση των επιχειρήσεων που προβλέπουν μειώσεις τιμών κάτι το οποίο έχουμε επίσης να δούμε από την ίδια περίοδο. </w:t>
      </w:r>
    </w:p>
    <w:p w:rsidR="00EC407A" w:rsidRPr="00EC407A" w:rsidRDefault="0003191B" w:rsidP="00700BFC">
      <w:pPr>
        <w:rPr>
          <w:b/>
        </w:rPr>
      </w:pPr>
      <w:r>
        <w:rPr>
          <w:noProof/>
        </w:rPr>
        <w:drawing>
          <wp:inline distT="0" distB="0" distL="0" distR="0" wp14:anchorId="6F12A628" wp14:editId="397D2EC3">
            <wp:extent cx="6296025" cy="4943475"/>
            <wp:effectExtent l="0" t="0" r="9525" b="9525"/>
            <wp:docPr id="61" name="Γράφημα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36044" w:rsidRDefault="00B36044" w:rsidP="00700BFC">
      <w:pPr>
        <w:spacing w:after="0" w:line="360" w:lineRule="auto"/>
        <w:jc w:val="both"/>
        <w:rPr>
          <w:sz w:val="24"/>
          <w:szCs w:val="24"/>
          <w:lang w:val="en-US"/>
        </w:rPr>
      </w:pPr>
    </w:p>
    <w:p w:rsidR="00EC407A" w:rsidRPr="0045324D" w:rsidRDefault="00EC407A" w:rsidP="00700BFC">
      <w:pPr>
        <w:spacing w:after="0" w:line="360" w:lineRule="auto"/>
        <w:jc w:val="both"/>
        <w:rPr>
          <w:sz w:val="24"/>
          <w:szCs w:val="24"/>
        </w:rPr>
      </w:pPr>
      <w:r w:rsidRPr="0031121B">
        <w:rPr>
          <w:sz w:val="24"/>
          <w:szCs w:val="24"/>
        </w:rPr>
        <w:t xml:space="preserve">Σε κλαδικό επίπεδο τις περισσότερες επιχειρήσεις που προτίθενται να προχωρήσουν σε αύξηση τιμών συναντούμε στο εμπόριο (49,5%), ακολουθούν οι μεταποιητικές επιχειρήσεις (39,4%) και τέλος οι επιχειρήσεις του ευρύτερου τομέα των υπηρεσιών (27,8%). Εξαίρεση και πάλι στον ευρύτερο τομέα των υπηρεσιών αποτελεί η εστίαση, της οποίας οι επιχειρήσεις δήλωσαν σε ποσοστό 30,1% ότι θα προχωρήσουν σε αύξηση τιμών το επόμενο εξάμηνο. Οι εντονότερες τάσεις ανατιμήσεων στο εμπόριο και </w:t>
      </w:r>
      <w:r w:rsidR="007E7529">
        <w:rPr>
          <w:sz w:val="24"/>
          <w:szCs w:val="24"/>
        </w:rPr>
        <w:lastRenderedPageBreak/>
        <w:t>την μεταποίηση είναι αναμενόμενες</w:t>
      </w:r>
      <w:r w:rsidRPr="0031121B">
        <w:rPr>
          <w:sz w:val="24"/>
          <w:szCs w:val="24"/>
        </w:rPr>
        <w:t xml:space="preserve"> καθώς οι τομείς αυτοί εξαρτώνται σε πολύ μεγαλύτερο βαθμό από εισροές σε εμπορεύματα και βασικά αγαθά τα οποία ανατιμώνται διεθνώς σε σχέση με τον τομέα των υπηρεσιών. Οι μεγαλύτερες ε</w:t>
      </w:r>
      <w:r w:rsidR="00C721D3">
        <w:rPr>
          <w:sz w:val="24"/>
          <w:szCs w:val="24"/>
        </w:rPr>
        <w:t>πιχειρήσεις σε όρους κύκλου εργασιών</w:t>
      </w:r>
      <w:r w:rsidR="007E7529">
        <w:rPr>
          <w:sz w:val="24"/>
          <w:szCs w:val="24"/>
        </w:rPr>
        <w:t xml:space="preserve"> και αριθμού</w:t>
      </w:r>
      <w:r w:rsidRPr="0031121B">
        <w:rPr>
          <w:sz w:val="24"/>
          <w:szCs w:val="24"/>
        </w:rPr>
        <w:t xml:space="preserve"> εργαζομένων εμφανίζουν μεγαλύτερη ροπή για ανατιμήσεις σε σχέσ</w:t>
      </w:r>
      <w:r w:rsidR="007E7529">
        <w:rPr>
          <w:sz w:val="24"/>
          <w:szCs w:val="24"/>
        </w:rPr>
        <w:t>η</w:t>
      </w:r>
      <w:r w:rsidRPr="0031121B">
        <w:rPr>
          <w:sz w:val="24"/>
          <w:szCs w:val="24"/>
        </w:rPr>
        <w:t xml:space="preserve"> με τις μικρότερες ενώ η γεωγραφική κατανομή των επιχειρήσεων δεν φαίνεται να </w:t>
      </w:r>
      <w:r w:rsidR="007E7529">
        <w:rPr>
          <w:sz w:val="24"/>
          <w:szCs w:val="24"/>
        </w:rPr>
        <w:t>επηρεάζει την</w:t>
      </w:r>
      <w:r w:rsidRPr="0031121B">
        <w:rPr>
          <w:sz w:val="24"/>
          <w:szCs w:val="24"/>
        </w:rPr>
        <w:t xml:space="preserve"> μεταβλητή αυτή.</w:t>
      </w:r>
    </w:p>
    <w:p w:rsidR="00B36044" w:rsidRPr="0045324D" w:rsidRDefault="00B36044" w:rsidP="00700BFC">
      <w:pPr>
        <w:spacing w:after="0" w:line="360" w:lineRule="auto"/>
        <w:jc w:val="both"/>
        <w:rPr>
          <w:sz w:val="24"/>
          <w:szCs w:val="24"/>
        </w:rPr>
      </w:pPr>
    </w:p>
    <w:p w:rsidR="00B36044" w:rsidRPr="0045324D" w:rsidRDefault="00B36044" w:rsidP="00700BFC">
      <w:pPr>
        <w:spacing w:after="0" w:line="360" w:lineRule="auto"/>
        <w:jc w:val="both"/>
        <w:rPr>
          <w:b/>
          <w:sz w:val="24"/>
          <w:szCs w:val="24"/>
        </w:rPr>
      </w:pPr>
    </w:p>
    <w:tbl>
      <w:tblPr>
        <w:tblW w:w="5000" w:type="pct"/>
        <w:tblLook w:val="04A0" w:firstRow="1" w:lastRow="0" w:firstColumn="1" w:lastColumn="0" w:noHBand="0" w:noVBand="1"/>
      </w:tblPr>
      <w:tblGrid>
        <w:gridCol w:w="1689"/>
        <w:gridCol w:w="1122"/>
        <w:gridCol w:w="1229"/>
        <w:gridCol w:w="1032"/>
        <w:gridCol w:w="734"/>
        <w:gridCol w:w="833"/>
        <w:gridCol w:w="863"/>
        <w:gridCol w:w="1000"/>
        <w:gridCol w:w="985"/>
        <w:gridCol w:w="1218"/>
      </w:tblGrid>
      <w:tr w:rsidR="00EC407A" w:rsidRPr="00EC407A" w:rsidTr="00EC407A">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DCE6F1" w:fill="DCE6F1"/>
            <w:vAlign w:val="bottom"/>
            <w:hideMark/>
          </w:tcPr>
          <w:p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AC6997">
              <w:rPr>
                <w:rFonts w:ascii="Calibri" w:eastAsia="Times New Roman" w:hAnsi="Calibri" w:cs="Calibri"/>
                <w:b/>
                <w:bCs/>
                <w:color w:val="000000"/>
                <w:sz w:val="24"/>
                <w:szCs w:val="24"/>
              </w:rPr>
              <w:t>ΠΙΝΑΚΑΣ 1</w:t>
            </w:r>
            <w:r w:rsidR="00AC6997" w:rsidRPr="00AC6997">
              <w:rPr>
                <w:rFonts w:ascii="Calibri" w:eastAsia="Times New Roman" w:hAnsi="Calibri" w:cs="Calibri"/>
                <w:b/>
                <w:bCs/>
                <w:color w:val="000000"/>
                <w:sz w:val="24"/>
                <w:szCs w:val="24"/>
              </w:rPr>
              <w:t>3</w:t>
            </w:r>
          </w:p>
          <w:p w:rsidR="00EC407A" w:rsidRPr="00EC407A" w:rsidRDefault="00EC407A" w:rsidP="00700BFC">
            <w:pPr>
              <w:spacing w:after="0" w:line="240" w:lineRule="auto"/>
              <w:jc w:val="center"/>
              <w:rPr>
                <w:rFonts w:ascii="Calibri" w:eastAsia="Times New Roman" w:hAnsi="Calibri" w:cs="Calibri"/>
                <w:b/>
                <w:bCs/>
                <w:color w:val="000000"/>
                <w:sz w:val="24"/>
                <w:szCs w:val="24"/>
              </w:rPr>
            </w:pPr>
            <w:r w:rsidRPr="00EC407A">
              <w:rPr>
                <w:rFonts w:ascii="Calibri" w:eastAsia="Times New Roman" w:hAnsi="Calibri" w:cs="Calibri"/>
                <w:b/>
                <w:bCs/>
                <w:color w:val="000000"/>
                <w:sz w:val="24"/>
                <w:szCs w:val="24"/>
              </w:rPr>
              <w:t>Εκτίμηση μεταβολής τιμών πώλησης αγαθών/υπηρεσιών το δεύτερο εξάμηνο του 2022 ανά κατηγορία επιχειρήσεων</w:t>
            </w:r>
          </w:p>
        </w:tc>
      </w:tr>
      <w:tr w:rsidR="00EC407A" w:rsidRPr="00EC407A" w:rsidTr="00EC407A">
        <w:trPr>
          <w:trHeight w:val="300"/>
        </w:trPr>
        <w:tc>
          <w:tcPr>
            <w:tcW w:w="789" w:type="pct"/>
            <w:vMerge w:val="restart"/>
            <w:tcBorders>
              <w:top w:val="nil"/>
              <w:left w:val="single" w:sz="4" w:space="0" w:color="auto"/>
              <w:bottom w:val="single" w:sz="4" w:space="0" w:color="auto"/>
              <w:right w:val="single" w:sz="4" w:space="0" w:color="auto"/>
            </w:tcBorders>
            <w:shd w:val="clear" w:color="DCE6F1" w:fill="DCE6F1"/>
            <w:noWrap/>
            <w:vAlign w:val="bottom"/>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580" w:type="pct"/>
            <w:gridSpan w:val="3"/>
            <w:tcBorders>
              <w:top w:val="single" w:sz="4" w:space="0" w:color="auto"/>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ΚΛΑΔΟΣ</w:t>
            </w:r>
          </w:p>
        </w:tc>
        <w:tc>
          <w:tcPr>
            <w:tcW w:w="2632" w:type="pct"/>
            <w:gridSpan w:val="6"/>
            <w:tcBorders>
              <w:top w:val="single" w:sz="4" w:space="0" w:color="auto"/>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ΕΤΗΣΙΟΣ ΚΥΚΛΟΣ ΕΡΓΑΣΙΩΝ</w:t>
            </w:r>
          </w:p>
        </w:tc>
      </w:tr>
      <w:tr w:rsidR="00EC407A" w:rsidRPr="00EC407A" w:rsidTr="00EC407A">
        <w:trPr>
          <w:trHeight w:val="1200"/>
        </w:trPr>
        <w:tc>
          <w:tcPr>
            <w:tcW w:w="789" w:type="pct"/>
            <w:vMerge/>
            <w:tcBorders>
              <w:top w:val="nil"/>
              <w:left w:val="single" w:sz="4" w:space="0" w:color="auto"/>
              <w:bottom w:val="single" w:sz="4" w:space="0" w:color="auto"/>
              <w:right w:val="single" w:sz="4" w:space="0" w:color="auto"/>
            </w:tcBorders>
            <w:vAlign w:val="center"/>
            <w:hideMark/>
          </w:tcPr>
          <w:p w:rsidR="00EC407A" w:rsidRPr="00EC407A" w:rsidRDefault="00EC407A" w:rsidP="00700BFC">
            <w:pPr>
              <w:spacing w:after="0" w:line="240" w:lineRule="auto"/>
              <w:rPr>
                <w:rFonts w:ascii="Calibri" w:eastAsia="Times New Roman" w:hAnsi="Calibri" w:cs="Calibri"/>
                <w:b/>
                <w:bCs/>
                <w:color w:val="000000"/>
                <w:sz w:val="16"/>
                <w:szCs w:val="16"/>
              </w:rPr>
            </w:pPr>
          </w:p>
        </w:tc>
        <w:tc>
          <w:tcPr>
            <w:tcW w:w="524"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Εμπόριο</w:t>
            </w:r>
          </w:p>
        </w:tc>
        <w:tc>
          <w:tcPr>
            <w:tcW w:w="574"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Μεταποίηση</w:t>
            </w:r>
          </w:p>
        </w:tc>
        <w:tc>
          <w:tcPr>
            <w:tcW w:w="481"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Υπηρεσίες</w:t>
            </w:r>
          </w:p>
        </w:tc>
        <w:tc>
          <w:tcPr>
            <w:tcW w:w="343"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Κάτω από 50.000 €</w:t>
            </w:r>
          </w:p>
        </w:tc>
        <w:tc>
          <w:tcPr>
            <w:tcW w:w="389"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50.000 - 100.000 €</w:t>
            </w:r>
          </w:p>
        </w:tc>
        <w:tc>
          <w:tcPr>
            <w:tcW w:w="403"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100.001 - 300.000 €</w:t>
            </w:r>
          </w:p>
        </w:tc>
        <w:tc>
          <w:tcPr>
            <w:tcW w:w="467"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300.001 - 500.000 €</w:t>
            </w:r>
          </w:p>
        </w:tc>
        <w:tc>
          <w:tcPr>
            <w:tcW w:w="459"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500.001 - 1.000.000 €</w:t>
            </w:r>
          </w:p>
        </w:tc>
        <w:tc>
          <w:tcPr>
            <w:tcW w:w="570"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Πάνω από 1.000.000 €</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αυξηθούν</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49,5%</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39,4%</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27,8%</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31,1%</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41,8%</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49,3%</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41,7%</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51,5%</w:t>
            </w:r>
          </w:p>
        </w:tc>
        <w:tc>
          <w:tcPr>
            <w:tcW w:w="57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51,4%</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Δεν θα μεταβληθούν</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32,4%</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41,5%</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56,6%</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51,8%</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42,5%</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34,8%</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41,7%</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33,3%</w:t>
            </w:r>
          </w:p>
        </w:tc>
        <w:tc>
          <w:tcPr>
            <w:tcW w:w="57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37,1%</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μειωθούν</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7,4%</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6,7%</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6,1%</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7,8%</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5,1%</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2,8%</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9,1%</w:t>
            </w:r>
          </w:p>
        </w:tc>
        <w:tc>
          <w:tcPr>
            <w:tcW w:w="57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ΔΑ/ΔΓ</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10,7%</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12,4%</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9,4%</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9,2%</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9,7%</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10,9%</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13,9%</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6,1%</w:t>
            </w:r>
          </w:p>
        </w:tc>
        <w:tc>
          <w:tcPr>
            <w:tcW w:w="570"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8,6%</w:t>
            </w:r>
          </w:p>
        </w:tc>
      </w:tr>
      <w:tr w:rsidR="00EC407A" w:rsidRPr="00EC407A" w:rsidTr="00EC407A">
        <w:trPr>
          <w:trHeight w:val="600"/>
        </w:trPr>
        <w:tc>
          <w:tcPr>
            <w:tcW w:w="789" w:type="pct"/>
            <w:vMerge w:val="restart"/>
            <w:tcBorders>
              <w:top w:val="nil"/>
              <w:left w:val="single" w:sz="4" w:space="0" w:color="auto"/>
              <w:bottom w:val="single" w:sz="4" w:space="0" w:color="auto"/>
              <w:right w:val="single" w:sz="4" w:space="0" w:color="auto"/>
            </w:tcBorders>
            <w:shd w:val="clear" w:color="DCE6F1" w:fill="DCE6F1"/>
            <w:noWrap/>
            <w:vAlign w:val="bottom"/>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 </w:t>
            </w:r>
          </w:p>
        </w:tc>
        <w:tc>
          <w:tcPr>
            <w:tcW w:w="1923" w:type="pct"/>
            <w:gridSpan w:val="4"/>
            <w:tcBorders>
              <w:top w:val="single" w:sz="4" w:space="0" w:color="auto"/>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ΑΡΙΘΜΟΣ ΕΡΓΑΖΟΜΕΝΩΝ</w:t>
            </w:r>
          </w:p>
        </w:tc>
        <w:tc>
          <w:tcPr>
            <w:tcW w:w="1719" w:type="pct"/>
            <w:gridSpan w:val="4"/>
            <w:tcBorders>
              <w:top w:val="single" w:sz="4" w:space="0" w:color="auto"/>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ΓΕΩΓΡΑΦΙΚΗ ΠΕΡΙΟΧΗ</w:t>
            </w:r>
          </w:p>
        </w:tc>
        <w:tc>
          <w:tcPr>
            <w:tcW w:w="570"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ΥΠΟΚΛΑΔΟΣ</w:t>
            </w:r>
          </w:p>
        </w:tc>
      </w:tr>
      <w:tr w:rsidR="00EC407A" w:rsidRPr="00EC407A" w:rsidTr="00EC407A">
        <w:trPr>
          <w:trHeight w:val="1200"/>
        </w:trPr>
        <w:tc>
          <w:tcPr>
            <w:tcW w:w="789" w:type="pct"/>
            <w:vMerge/>
            <w:tcBorders>
              <w:top w:val="nil"/>
              <w:left w:val="single" w:sz="4" w:space="0" w:color="auto"/>
              <w:bottom w:val="single" w:sz="4" w:space="0" w:color="auto"/>
              <w:right w:val="single" w:sz="4" w:space="0" w:color="auto"/>
            </w:tcBorders>
            <w:vAlign w:val="center"/>
            <w:hideMark/>
          </w:tcPr>
          <w:p w:rsidR="00EC407A" w:rsidRPr="00EC407A" w:rsidRDefault="00EC407A" w:rsidP="00700BFC">
            <w:pPr>
              <w:spacing w:after="0" w:line="240" w:lineRule="auto"/>
              <w:rPr>
                <w:rFonts w:ascii="Calibri" w:eastAsia="Times New Roman" w:hAnsi="Calibri" w:cs="Calibri"/>
                <w:b/>
                <w:bCs/>
                <w:color w:val="000000"/>
                <w:sz w:val="16"/>
                <w:szCs w:val="16"/>
              </w:rPr>
            </w:pPr>
          </w:p>
        </w:tc>
        <w:tc>
          <w:tcPr>
            <w:tcW w:w="524"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Χωρίς προσωπικό</w:t>
            </w:r>
          </w:p>
        </w:tc>
        <w:tc>
          <w:tcPr>
            <w:tcW w:w="574"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 έως 4</w:t>
            </w:r>
          </w:p>
        </w:tc>
        <w:tc>
          <w:tcPr>
            <w:tcW w:w="481"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5 έως 9</w:t>
            </w:r>
          </w:p>
        </w:tc>
        <w:tc>
          <w:tcPr>
            <w:tcW w:w="343"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10 έως 49</w:t>
            </w:r>
          </w:p>
        </w:tc>
        <w:tc>
          <w:tcPr>
            <w:tcW w:w="389"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EL3 ΑΤΤΙΚΗ</w:t>
            </w:r>
          </w:p>
        </w:tc>
        <w:tc>
          <w:tcPr>
            <w:tcW w:w="403"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EL5 ΒΟΡΕΙΑ ΕΛΛΑΔΑ</w:t>
            </w:r>
          </w:p>
        </w:tc>
        <w:tc>
          <w:tcPr>
            <w:tcW w:w="467"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EL6 ΚΕΝΤΡΙΚΗ ΕΛΛΑΔΑ</w:t>
            </w:r>
          </w:p>
        </w:tc>
        <w:tc>
          <w:tcPr>
            <w:tcW w:w="459"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EL4 ΝΗΣΙΑ ΑΙΓΑΙΟΥ &amp; ΚΡΗΤΗ</w:t>
            </w:r>
          </w:p>
        </w:tc>
        <w:tc>
          <w:tcPr>
            <w:tcW w:w="570" w:type="pct"/>
            <w:tcBorders>
              <w:top w:val="nil"/>
              <w:left w:val="nil"/>
              <w:bottom w:val="single" w:sz="4" w:space="0" w:color="auto"/>
              <w:right w:val="single" w:sz="4" w:space="0" w:color="auto"/>
            </w:tcBorders>
            <w:shd w:val="clear" w:color="DCE6F1" w:fill="DCE6F1"/>
            <w:vAlign w:val="center"/>
            <w:hideMark/>
          </w:tcPr>
          <w:p w:rsidR="00EC407A" w:rsidRPr="00EC407A" w:rsidRDefault="00EC407A" w:rsidP="00700BFC">
            <w:pPr>
              <w:spacing w:after="0" w:line="240" w:lineRule="auto"/>
              <w:jc w:val="center"/>
              <w:rPr>
                <w:rFonts w:ascii="Calibri" w:eastAsia="Times New Roman" w:hAnsi="Calibri" w:cs="Calibri"/>
                <w:b/>
                <w:bCs/>
                <w:color w:val="000000"/>
                <w:sz w:val="16"/>
                <w:szCs w:val="16"/>
              </w:rPr>
            </w:pPr>
            <w:r w:rsidRPr="00EC407A">
              <w:rPr>
                <w:rFonts w:ascii="Calibri" w:eastAsia="Times New Roman" w:hAnsi="Calibri" w:cs="Calibri"/>
                <w:b/>
                <w:bCs/>
                <w:color w:val="000000"/>
                <w:sz w:val="16"/>
                <w:szCs w:val="16"/>
              </w:rPr>
              <w:t>Εστίαση</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αυξηθούν</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lang w:val="en-US"/>
              </w:rPr>
            </w:pPr>
            <w:r w:rsidRPr="00EC407A">
              <w:rPr>
                <w:rFonts w:ascii="Calibri" w:eastAsia="Times New Roman" w:hAnsi="Calibri" w:cs="Calibri"/>
                <w:color w:val="000000"/>
                <w:sz w:val="16"/>
                <w:szCs w:val="16"/>
              </w:rPr>
              <w:t>34,5%</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42,1%</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39,6%</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32,7%</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38,5%</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37,8%</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38,6%</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41,3%</w:t>
            </w:r>
          </w:p>
        </w:tc>
        <w:tc>
          <w:tcPr>
            <w:tcW w:w="570" w:type="pct"/>
            <w:tcBorders>
              <w:top w:val="nil"/>
              <w:left w:val="nil"/>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30,1%</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Δεν θα μεταβληθούν</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47,5%</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39,7%</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45,5%</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53,8%</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44,0%</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43,8%</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44,4%</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43,3%</w:t>
            </w:r>
          </w:p>
        </w:tc>
        <w:tc>
          <w:tcPr>
            <w:tcW w:w="570" w:type="pct"/>
            <w:tcBorders>
              <w:top w:val="nil"/>
              <w:left w:val="nil"/>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50,7%</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Θα μειωθούν</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6,8%</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8,0%</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5,0%</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1,9%</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7,6%</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6,0%</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8,5%</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2,9%</w:t>
            </w:r>
          </w:p>
        </w:tc>
        <w:tc>
          <w:tcPr>
            <w:tcW w:w="570" w:type="pct"/>
            <w:tcBorders>
              <w:top w:val="nil"/>
              <w:left w:val="nil"/>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4,1%</w:t>
            </w:r>
          </w:p>
        </w:tc>
      </w:tr>
      <w:tr w:rsidR="00EC407A" w:rsidRPr="00EC407A" w:rsidTr="00EC407A">
        <w:trPr>
          <w:trHeight w:val="300"/>
        </w:trPr>
        <w:tc>
          <w:tcPr>
            <w:tcW w:w="789" w:type="pct"/>
            <w:tcBorders>
              <w:top w:val="nil"/>
              <w:left w:val="single" w:sz="4" w:space="0" w:color="auto"/>
              <w:bottom w:val="single" w:sz="4" w:space="0" w:color="auto"/>
              <w:right w:val="single" w:sz="4" w:space="0" w:color="auto"/>
            </w:tcBorders>
            <w:shd w:val="clear" w:color="auto" w:fill="auto"/>
            <w:noWrap/>
            <w:vAlign w:val="bottom"/>
            <w:hideMark/>
          </w:tcPr>
          <w:p w:rsidR="00EC407A" w:rsidRPr="00EC407A" w:rsidRDefault="00EC407A" w:rsidP="00700BFC">
            <w:pPr>
              <w:spacing w:after="0" w:line="240" w:lineRule="auto"/>
              <w:rPr>
                <w:rFonts w:ascii="Calibri" w:eastAsia="Times New Roman" w:hAnsi="Calibri" w:cs="Calibri"/>
                <w:color w:val="000000"/>
                <w:sz w:val="16"/>
                <w:szCs w:val="16"/>
              </w:rPr>
            </w:pPr>
            <w:r w:rsidRPr="00EC407A">
              <w:rPr>
                <w:rFonts w:ascii="Calibri" w:eastAsia="Times New Roman" w:hAnsi="Calibri" w:cs="Calibri"/>
                <w:color w:val="000000"/>
                <w:sz w:val="16"/>
                <w:szCs w:val="16"/>
              </w:rPr>
              <w:t>ΔΑ/ΔΓ</w:t>
            </w:r>
          </w:p>
        </w:tc>
        <w:tc>
          <w:tcPr>
            <w:tcW w:w="52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11,2%</w:t>
            </w:r>
          </w:p>
        </w:tc>
        <w:tc>
          <w:tcPr>
            <w:tcW w:w="574"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10,2%</w:t>
            </w:r>
          </w:p>
        </w:tc>
        <w:tc>
          <w:tcPr>
            <w:tcW w:w="481"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9,9%</w:t>
            </w:r>
          </w:p>
        </w:tc>
        <w:tc>
          <w:tcPr>
            <w:tcW w:w="34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11,5%</w:t>
            </w:r>
          </w:p>
        </w:tc>
        <w:tc>
          <w:tcPr>
            <w:tcW w:w="38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10,0%</w:t>
            </w:r>
          </w:p>
        </w:tc>
        <w:tc>
          <w:tcPr>
            <w:tcW w:w="403"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12,4%</w:t>
            </w:r>
          </w:p>
        </w:tc>
        <w:tc>
          <w:tcPr>
            <w:tcW w:w="467"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8,5%</w:t>
            </w:r>
          </w:p>
        </w:tc>
        <w:tc>
          <w:tcPr>
            <w:tcW w:w="459" w:type="pct"/>
            <w:tcBorders>
              <w:top w:val="nil"/>
              <w:left w:val="nil"/>
              <w:bottom w:val="single" w:sz="4" w:space="0" w:color="auto"/>
              <w:right w:val="single" w:sz="4" w:space="0" w:color="auto"/>
            </w:tcBorders>
            <w:shd w:val="clear" w:color="auto" w:fill="auto"/>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12,5%</w:t>
            </w:r>
          </w:p>
        </w:tc>
        <w:tc>
          <w:tcPr>
            <w:tcW w:w="570" w:type="pct"/>
            <w:tcBorders>
              <w:top w:val="nil"/>
              <w:left w:val="nil"/>
              <w:bottom w:val="single" w:sz="4" w:space="0" w:color="auto"/>
              <w:right w:val="single" w:sz="4" w:space="0" w:color="auto"/>
            </w:tcBorders>
            <w:shd w:val="clear" w:color="auto" w:fill="auto"/>
            <w:noWrap/>
            <w:vAlign w:val="center"/>
            <w:hideMark/>
          </w:tcPr>
          <w:p w:rsidR="00EC407A" w:rsidRPr="00EC407A" w:rsidRDefault="00EC407A" w:rsidP="00700BFC">
            <w:pPr>
              <w:spacing w:after="0" w:line="240" w:lineRule="auto"/>
              <w:jc w:val="center"/>
              <w:rPr>
                <w:rFonts w:ascii="Calibri" w:eastAsia="Times New Roman" w:hAnsi="Calibri" w:cs="Calibri"/>
                <w:color w:val="000000"/>
                <w:sz w:val="16"/>
                <w:szCs w:val="16"/>
              </w:rPr>
            </w:pPr>
            <w:r w:rsidRPr="00EC407A">
              <w:rPr>
                <w:rFonts w:ascii="Calibri" w:eastAsia="Times New Roman" w:hAnsi="Calibri" w:cs="Calibri"/>
                <w:color w:val="000000"/>
                <w:sz w:val="16"/>
                <w:szCs w:val="16"/>
              </w:rPr>
              <w:t>15,1%</w:t>
            </w:r>
          </w:p>
        </w:tc>
      </w:tr>
    </w:tbl>
    <w:p w:rsidR="00EC407A" w:rsidRPr="00EC407A" w:rsidRDefault="00EC407A" w:rsidP="00700BFC">
      <w:pPr>
        <w:rPr>
          <w:b/>
        </w:rPr>
      </w:pPr>
    </w:p>
    <w:p w:rsidR="00CC423E" w:rsidRPr="0071365A" w:rsidRDefault="00CC423E" w:rsidP="00700BFC">
      <w:pPr>
        <w:numPr>
          <w:ilvl w:val="0"/>
          <w:numId w:val="5"/>
        </w:numPr>
        <w:spacing w:after="0" w:line="360" w:lineRule="auto"/>
        <w:contextualSpacing/>
        <w:jc w:val="both"/>
        <w:rPr>
          <w:rFonts w:cstheme="minorHAnsi"/>
          <w:u w:val="single"/>
        </w:rPr>
      </w:pPr>
      <w:r w:rsidRPr="0071365A">
        <w:rPr>
          <w:rFonts w:eastAsia="Times New Roman" w:cstheme="minorHAnsi"/>
          <w:b/>
          <w:color w:val="222222"/>
          <w:sz w:val="24"/>
          <w:szCs w:val="24"/>
          <w:u w:val="single"/>
        </w:rPr>
        <w:t xml:space="preserve">Υποχρεώσεις - οφειλές </w:t>
      </w:r>
    </w:p>
    <w:p w:rsidR="00D268F0" w:rsidRPr="00DC4B60" w:rsidRDefault="00D268F0" w:rsidP="00700BFC">
      <w:pPr>
        <w:spacing w:after="0" w:line="360" w:lineRule="auto"/>
        <w:jc w:val="both"/>
        <w:rPr>
          <w:rFonts w:eastAsia="Times New Roman" w:cstheme="minorHAnsi"/>
          <w:sz w:val="24"/>
          <w:szCs w:val="24"/>
        </w:rPr>
      </w:pPr>
      <w:r w:rsidRPr="00DC4B60">
        <w:rPr>
          <w:rFonts w:eastAsia="Times New Roman" w:cstheme="minorHAnsi"/>
          <w:sz w:val="24"/>
          <w:szCs w:val="24"/>
        </w:rPr>
        <w:t xml:space="preserve">Σε σχέση με τις </w:t>
      </w:r>
      <w:r w:rsidR="00CC423E">
        <w:rPr>
          <w:rFonts w:eastAsia="Times New Roman" w:cstheme="minorHAnsi"/>
          <w:sz w:val="24"/>
          <w:szCs w:val="24"/>
        </w:rPr>
        <w:t>υποχρεώνεις των μικρών και πολύ μικρών επιχειρήσεων</w:t>
      </w:r>
      <w:r w:rsidRPr="00DC4B60">
        <w:rPr>
          <w:rFonts w:eastAsia="Times New Roman" w:cstheme="minorHAnsi"/>
          <w:sz w:val="24"/>
          <w:szCs w:val="24"/>
        </w:rPr>
        <w:t xml:space="preserve"> για </w:t>
      </w:r>
      <w:r w:rsidR="007E7529">
        <w:rPr>
          <w:rFonts w:eastAsia="Times New Roman" w:cstheme="minorHAnsi"/>
          <w:sz w:val="24"/>
          <w:szCs w:val="24"/>
        </w:rPr>
        <w:t xml:space="preserve">το </w:t>
      </w:r>
      <w:r w:rsidR="003F7C4E" w:rsidRPr="00DC4B60">
        <w:rPr>
          <w:rFonts w:eastAsia="Times New Roman" w:cstheme="minorHAnsi"/>
          <w:sz w:val="24"/>
          <w:szCs w:val="24"/>
        </w:rPr>
        <w:t>δεύτερο</w:t>
      </w:r>
      <w:r w:rsidRPr="00DC4B60">
        <w:rPr>
          <w:rFonts w:eastAsia="Times New Roman" w:cstheme="minorHAnsi"/>
          <w:sz w:val="24"/>
          <w:szCs w:val="24"/>
        </w:rPr>
        <w:t xml:space="preserve"> εξάμηνο του 2022, τα ευρήματα της έρευνας είναι τα εξής:</w:t>
      </w:r>
    </w:p>
    <w:p w:rsidR="003F7C4E" w:rsidRDefault="003F7C4E" w:rsidP="00700BFC">
      <w:pPr>
        <w:pStyle w:val="a3"/>
        <w:numPr>
          <w:ilvl w:val="0"/>
          <w:numId w:val="7"/>
        </w:numPr>
        <w:spacing w:after="0" w:line="360" w:lineRule="auto"/>
        <w:jc w:val="both"/>
        <w:rPr>
          <w:rFonts w:eastAsia="Times New Roman" w:cstheme="minorHAnsi"/>
          <w:sz w:val="24"/>
          <w:szCs w:val="24"/>
        </w:rPr>
      </w:pPr>
      <w:r>
        <w:rPr>
          <w:rFonts w:eastAsia="Times New Roman" w:cstheme="minorHAnsi"/>
          <w:sz w:val="24"/>
          <w:szCs w:val="24"/>
        </w:rPr>
        <w:t>τ</w:t>
      </w:r>
      <w:r w:rsidRPr="003F7C4E">
        <w:rPr>
          <w:rFonts w:eastAsia="Times New Roman" w:cstheme="minorHAnsi"/>
          <w:sz w:val="24"/>
          <w:szCs w:val="24"/>
        </w:rPr>
        <w:t>ο 16,6% δήλωσε πως δεν θα μπορέσει να ανταποκριθεί στις υποχρεώσεις του προς τον πρώην ΟΑΕΕ</w:t>
      </w:r>
      <w:r>
        <w:rPr>
          <w:rFonts w:eastAsia="Times New Roman" w:cstheme="minorHAnsi"/>
          <w:sz w:val="24"/>
          <w:szCs w:val="24"/>
        </w:rPr>
        <w:t>,</w:t>
      </w:r>
    </w:p>
    <w:p w:rsidR="003F7C4E" w:rsidRPr="003F7C4E" w:rsidRDefault="003F7C4E" w:rsidP="00700BFC">
      <w:pPr>
        <w:pStyle w:val="a3"/>
        <w:numPr>
          <w:ilvl w:val="0"/>
          <w:numId w:val="7"/>
        </w:numPr>
        <w:spacing w:after="0" w:line="360" w:lineRule="auto"/>
        <w:jc w:val="both"/>
        <w:rPr>
          <w:rFonts w:eastAsia="Times New Roman" w:cstheme="minorHAnsi"/>
          <w:sz w:val="24"/>
          <w:szCs w:val="24"/>
        </w:rPr>
      </w:pPr>
      <w:r w:rsidRPr="003F7C4E">
        <w:rPr>
          <w:rFonts w:eastAsia="Times New Roman" w:cstheme="minorHAnsi"/>
          <w:sz w:val="24"/>
          <w:szCs w:val="24"/>
        </w:rPr>
        <w:t xml:space="preserve">το </w:t>
      </w:r>
      <w:r>
        <w:rPr>
          <w:rFonts w:eastAsia="Times New Roman" w:cstheme="minorHAnsi"/>
          <w:sz w:val="24"/>
          <w:szCs w:val="24"/>
        </w:rPr>
        <w:t>15,5</w:t>
      </w:r>
      <w:r w:rsidRPr="003F7C4E">
        <w:rPr>
          <w:rFonts w:eastAsia="Times New Roman" w:cstheme="minorHAnsi"/>
          <w:sz w:val="24"/>
          <w:szCs w:val="24"/>
        </w:rPr>
        <w:t>% δήλωσε πως δεν θα μπορέσει να ανταποκριθεί στις υποχρεώσεις του προς την εφορία</w:t>
      </w:r>
      <w:r>
        <w:rPr>
          <w:rFonts w:eastAsia="Times New Roman" w:cstheme="minorHAnsi"/>
          <w:sz w:val="24"/>
          <w:szCs w:val="24"/>
        </w:rPr>
        <w:t>,</w:t>
      </w:r>
    </w:p>
    <w:p w:rsidR="00D268F0" w:rsidRPr="00DC4B60" w:rsidRDefault="003F7C4E" w:rsidP="00700BFC">
      <w:pPr>
        <w:numPr>
          <w:ilvl w:val="0"/>
          <w:numId w:val="7"/>
        </w:numPr>
        <w:spacing w:after="0" w:line="360" w:lineRule="auto"/>
        <w:contextualSpacing/>
        <w:jc w:val="both"/>
        <w:rPr>
          <w:rFonts w:eastAsia="Times New Roman" w:cstheme="minorHAnsi"/>
          <w:sz w:val="24"/>
          <w:szCs w:val="24"/>
        </w:rPr>
      </w:pPr>
      <w:r>
        <w:rPr>
          <w:rFonts w:eastAsia="Times New Roman" w:cstheme="minorHAnsi"/>
          <w:sz w:val="24"/>
          <w:szCs w:val="24"/>
        </w:rPr>
        <w:t>τ</w:t>
      </w:r>
      <w:r w:rsidR="00D268F0" w:rsidRPr="00DC4B60">
        <w:rPr>
          <w:rFonts w:eastAsia="Times New Roman" w:cstheme="minorHAnsi"/>
          <w:sz w:val="24"/>
          <w:szCs w:val="24"/>
        </w:rPr>
        <w:t xml:space="preserve">ο </w:t>
      </w:r>
      <w:r>
        <w:rPr>
          <w:rFonts w:eastAsia="Times New Roman" w:cstheme="minorHAnsi"/>
          <w:sz w:val="24"/>
          <w:szCs w:val="24"/>
        </w:rPr>
        <w:t>15,4</w:t>
      </w:r>
      <w:r w:rsidR="00D268F0" w:rsidRPr="00DC4B60">
        <w:rPr>
          <w:rFonts w:eastAsia="Times New Roman" w:cstheme="minorHAnsi"/>
          <w:sz w:val="24"/>
          <w:szCs w:val="24"/>
        </w:rPr>
        <w:t xml:space="preserve">% δήλωσε πως δεν θα μπορέσει να ανταποκριθεί στις υποχρεώσεις του </w:t>
      </w:r>
      <w:r>
        <w:rPr>
          <w:rFonts w:eastAsia="Times New Roman" w:cstheme="minorHAnsi"/>
          <w:sz w:val="24"/>
          <w:szCs w:val="24"/>
        </w:rPr>
        <w:t>σ</w:t>
      </w:r>
      <w:r w:rsidR="00D268F0" w:rsidRPr="00DC4B60">
        <w:rPr>
          <w:rFonts w:eastAsia="Times New Roman" w:cstheme="minorHAnsi"/>
          <w:sz w:val="24"/>
          <w:szCs w:val="24"/>
        </w:rPr>
        <w:t>τους λογαριασμούς ενέργειας</w:t>
      </w:r>
      <w:r>
        <w:rPr>
          <w:rFonts w:eastAsia="Times New Roman" w:cstheme="minorHAnsi"/>
          <w:sz w:val="24"/>
          <w:szCs w:val="24"/>
        </w:rPr>
        <w:t>,</w:t>
      </w:r>
    </w:p>
    <w:p w:rsidR="00D268F0" w:rsidRDefault="00960C78" w:rsidP="00700BFC">
      <w:pPr>
        <w:numPr>
          <w:ilvl w:val="0"/>
          <w:numId w:val="7"/>
        </w:numPr>
        <w:spacing w:after="0" w:line="360" w:lineRule="auto"/>
        <w:contextualSpacing/>
        <w:jc w:val="both"/>
        <w:rPr>
          <w:rFonts w:eastAsia="Times New Roman" w:cstheme="minorHAnsi"/>
          <w:sz w:val="24"/>
          <w:szCs w:val="24"/>
        </w:rPr>
      </w:pPr>
      <w:r>
        <w:rPr>
          <w:rFonts w:eastAsia="Times New Roman" w:cstheme="minorHAnsi"/>
          <w:sz w:val="24"/>
          <w:szCs w:val="24"/>
        </w:rPr>
        <w:lastRenderedPageBreak/>
        <w:t>τ</w:t>
      </w:r>
      <w:r w:rsidR="00D268F0" w:rsidRPr="00DC4B60">
        <w:rPr>
          <w:rFonts w:eastAsia="Times New Roman" w:cstheme="minorHAnsi"/>
          <w:sz w:val="24"/>
          <w:szCs w:val="24"/>
        </w:rPr>
        <w:t xml:space="preserve">ο </w:t>
      </w:r>
      <w:r w:rsidR="003F7C4E">
        <w:rPr>
          <w:rFonts w:eastAsia="Times New Roman" w:cstheme="minorHAnsi"/>
          <w:sz w:val="24"/>
          <w:szCs w:val="24"/>
        </w:rPr>
        <w:t>13,1</w:t>
      </w:r>
      <w:r w:rsidR="00D268F0" w:rsidRPr="00DC4B60">
        <w:rPr>
          <w:rFonts w:eastAsia="Times New Roman" w:cstheme="minorHAnsi"/>
          <w:sz w:val="24"/>
          <w:szCs w:val="24"/>
        </w:rPr>
        <w:t>% δήλωσε πως δεν θα μπορέσει να ανταποκριθεί στις υποχρεώσεις του προς προμηθευτές</w:t>
      </w:r>
      <w:r>
        <w:rPr>
          <w:rFonts w:eastAsia="Times New Roman" w:cstheme="minorHAnsi"/>
          <w:sz w:val="24"/>
          <w:szCs w:val="24"/>
        </w:rPr>
        <w:t>,</w:t>
      </w:r>
    </w:p>
    <w:p w:rsidR="00FD3FE2" w:rsidRPr="00FD3FE2" w:rsidRDefault="00FD3FE2" w:rsidP="00700BFC">
      <w:pPr>
        <w:numPr>
          <w:ilvl w:val="0"/>
          <w:numId w:val="7"/>
        </w:numPr>
        <w:spacing w:after="0" w:line="360" w:lineRule="auto"/>
        <w:contextualSpacing/>
        <w:jc w:val="both"/>
        <w:rPr>
          <w:rFonts w:eastAsia="Times New Roman" w:cstheme="minorHAnsi"/>
          <w:sz w:val="24"/>
          <w:szCs w:val="24"/>
        </w:rPr>
      </w:pPr>
      <w:r w:rsidRPr="00DC4B60">
        <w:rPr>
          <w:rFonts w:eastAsia="Times New Roman" w:cstheme="minorHAnsi"/>
          <w:sz w:val="24"/>
          <w:szCs w:val="24"/>
        </w:rPr>
        <w:t xml:space="preserve">Το </w:t>
      </w:r>
      <w:r>
        <w:rPr>
          <w:rFonts w:eastAsia="Times New Roman" w:cstheme="minorHAnsi"/>
          <w:sz w:val="24"/>
          <w:szCs w:val="24"/>
        </w:rPr>
        <w:t>12</w:t>
      </w:r>
      <w:r w:rsidRPr="00DC4B60">
        <w:rPr>
          <w:rFonts w:eastAsia="Times New Roman" w:cstheme="minorHAnsi"/>
          <w:sz w:val="24"/>
          <w:szCs w:val="24"/>
        </w:rPr>
        <w:t>% δήλωσε πως δεν θα μπορέσει να ανταποκριθεί στις τραπεζικές του υποχρεώσεις.</w:t>
      </w:r>
      <w:r w:rsidRPr="00DC4B60">
        <w:t xml:space="preserve"> </w:t>
      </w:r>
      <w:r w:rsidRPr="00DC4B60">
        <w:rPr>
          <w:rFonts w:eastAsia="Times New Roman" w:cstheme="minorHAnsi"/>
          <w:sz w:val="24"/>
          <w:szCs w:val="24"/>
        </w:rPr>
        <w:t xml:space="preserve">Σημειώνεται ότι από τις επιχειρήσεις που έχουν τραπεζικά δάνεια (το </w:t>
      </w:r>
      <w:r>
        <w:rPr>
          <w:rFonts w:eastAsia="Times New Roman" w:cstheme="minorHAnsi"/>
          <w:sz w:val="24"/>
          <w:szCs w:val="24"/>
        </w:rPr>
        <w:t>57</w:t>
      </w:r>
      <w:r w:rsidRPr="00DC4B60">
        <w:rPr>
          <w:rFonts w:eastAsia="Times New Roman" w:cstheme="minorHAnsi"/>
          <w:sz w:val="24"/>
          <w:szCs w:val="24"/>
        </w:rPr>
        <w:t>% του συνόλου των επιχειρήσεων), το ποσο</w:t>
      </w:r>
      <w:r w:rsidR="007E7529">
        <w:rPr>
          <w:rFonts w:eastAsia="Times New Roman" w:cstheme="minorHAnsi"/>
          <w:sz w:val="24"/>
          <w:szCs w:val="24"/>
        </w:rPr>
        <w:t>στό των επιχειρήσεων που δήλωσε ότι δεν θα μπορέσει να ανταποκριθεί</w:t>
      </w:r>
      <w:r w:rsidRPr="00DC4B60">
        <w:rPr>
          <w:rFonts w:eastAsia="Times New Roman" w:cstheme="minorHAnsi"/>
          <w:sz w:val="24"/>
          <w:szCs w:val="24"/>
        </w:rPr>
        <w:t xml:space="preserve"> </w:t>
      </w:r>
      <w:r w:rsidR="007E7529">
        <w:rPr>
          <w:rFonts w:eastAsia="Times New Roman" w:cstheme="minorHAnsi"/>
          <w:sz w:val="24"/>
          <w:szCs w:val="24"/>
        </w:rPr>
        <w:t>στις τραπεζικές του</w:t>
      </w:r>
      <w:r w:rsidRPr="00DC4B60">
        <w:rPr>
          <w:rFonts w:eastAsia="Times New Roman" w:cstheme="minorHAnsi"/>
          <w:sz w:val="24"/>
          <w:szCs w:val="24"/>
        </w:rPr>
        <w:t xml:space="preserve"> υποχρεώσεις αντιστοιχεί στο 20,</w:t>
      </w:r>
      <w:r>
        <w:rPr>
          <w:rFonts w:eastAsia="Times New Roman" w:cstheme="minorHAnsi"/>
          <w:sz w:val="24"/>
          <w:szCs w:val="24"/>
        </w:rPr>
        <w:t>9</w:t>
      </w:r>
      <w:r w:rsidRPr="00DC4B60">
        <w:rPr>
          <w:rFonts w:eastAsia="Times New Roman" w:cstheme="minorHAnsi"/>
          <w:sz w:val="24"/>
          <w:szCs w:val="24"/>
        </w:rPr>
        <w:t>%</w:t>
      </w:r>
      <w:r w:rsidR="00960C78">
        <w:rPr>
          <w:rFonts w:eastAsia="Times New Roman" w:cstheme="minorHAnsi"/>
          <w:sz w:val="24"/>
          <w:szCs w:val="24"/>
        </w:rPr>
        <w:t>.</w:t>
      </w:r>
    </w:p>
    <w:p w:rsidR="00FD3FE2" w:rsidRPr="00FD3FE2" w:rsidRDefault="00FD3FE2" w:rsidP="00700BFC">
      <w:pPr>
        <w:pStyle w:val="a3"/>
        <w:numPr>
          <w:ilvl w:val="0"/>
          <w:numId w:val="7"/>
        </w:numPr>
        <w:spacing w:after="0" w:line="360" w:lineRule="auto"/>
        <w:jc w:val="both"/>
        <w:rPr>
          <w:rFonts w:eastAsia="Times New Roman" w:cstheme="minorHAnsi"/>
          <w:sz w:val="24"/>
          <w:szCs w:val="24"/>
        </w:rPr>
      </w:pPr>
      <w:r w:rsidRPr="00FD3FE2">
        <w:rPr>
          <w:rFonts w:eastAsia="Times New Roman" w:cstheme="minorHAnsi"/>
          <w:sz w:val="24"/>
          <w:szCs w:val="24"/>
        </w:rPr>
        <w:t>Το 11,5% δήλωσε πως δεν θα μπορέσει να ανταποκριθεί στις υποχρεώσεις του για το ενοίκιο. Σημειώνεται ότι από τις επιχειρήσεις που έχουν ενοίκιο (το 66% του συνόλου των επιχειρήσεων) το ποσοστό των επι</w:t>
      </w:r>
      <w:r w:rsidR="007E7529">
        <w:rPr>
          <w:rFonts w:eastAsia="Times New Roman" w:cstheme="minorHAnsi"/>
          <w:sz w:val="24"/>
          <w:szCs w:val="24"/>
        </w:rPr>
        <w:t>χειρήσεων που δήλωσε ότι δεν θα μπορέσει να ανταποκριθεί</w:t>
      </w:r>
      <w:r w:rsidRPr="00FD3FE2">
        <w:rPr>
          <w:rFonts w:eastAsia="Times New Roman" w:cstheme="minorHAnsi"/>
          <w:sz w:val="24"/>
          <w:szCs w:val="24"/>
        </w:rPr>
        <w:t xml:space="preserve"> στην καταβολή του ενοικίου αντιστοιχεί στο 17,4%</w:t>
      </w:r>
      <w:r w:rsidR="00960C78">
        <w:rPr>
          <w:rFonts w:eastAsia="Times New Roman" w:cstheme="minorHAnsi"/>
          <w:sz w:val="24"/>
          <w:szCs w:val="24"/>
        </w:rPr>
        <w:t>.</w:t>
      </w:r>
    </w:p>
    <w:p w:rsidR="00D268F0" w:rsidRPr="00DC4B60" w:rsidRDefault="00D268F0" w:rsidP="00700BFC">
      <w:pPr>
        <w:numPr>
          <w:ilvl w:val="0"/>
          <w:numId w:val="7"/>
        </w:numPr>
        <w:spacing w:after="0" w:line="360" w:lineRule="auto"/>
        <w:contextualSpacing/>
        <w:jc w:val="both"/>
        <w:rPr>
          <w:rFonts w:eastAsia="Times New Roman" w:cstheme="minorHAnsi"/>
          <w:sz w:val="24"/>
          <w:szCs w:val="24"/>
        </w:rPr>
      </w:pPr>
      <w:r w:rsidRPr="00DC4B60">
        <w:rPr>
          <w:rFonts w:eastAsia="Times New Roman" w:cstheme="minorHAnsi"/>
          <w:sz w:val="24"/>
          <w:szCs w:val="24"/>
        </w:rPr>
        <w:t xml:space="preserve">Το </w:t>
      </w:r>
      <w:r w:rsidR="00BA1B06">
        <w:rPr>
          <w:rFonts w:eastAsia="Times New Roman" w:cstheme="minorHAnsi"/>
          <w:sz w:val="24"/>
          <w:szCs w:val="24"/>
        </w:rPr>
        <w:t>10</w:t>
      </w:r>
      <w:r w:rsidR="003F7C4E">
        <w:rPr>
          <w:rFonts w:eastAsia="Times New Roman" w:cstheme="minorHAnsi"/>
          <w:sz w:val="24"/>
          <w:szCs w:val="24"/>
        </w:rPr>
        <w:t>,2</w:t>
      </w:r>
      <w:r w:rsidRPr="00DC4B60">
        <w:rPr>
          <w:rFonts w:eastAsia="Times New Roman" w:cstheme="minorHAnsi"/>
          <w:sz w:val="24"/>
          <w:szCs w:val="24"/>
        </w:rPr>
        <w:t xml:space="preserve">% δήλωσε πως δεν θα μπορέσει να ανταποκριθεί στις υποχρεώσεις του προς το πρώην ΙΚΑ. Σημειώνεται ότι από τις επιχειρήσεις που έχουν προσωπικό (το </w:t>
      </w:r>
      <w:r w:rsidR="003F7C4E">
        <w:rPr>
          <w:rFonts w:eastAsia="Times New Roman" w:cstheme="minorHAnsi"/>
          <w:sz w:val="24"/>
          <w:szCs w:val="24"/>
        </w:rPr>
        <w:t>64,</w:t>
      </w:r>
      <w:r w:rsidR="00BA1B06">
        <w:rPr>
          <w:rFonts w:eastAsia="Times New Roman" w:cstheme="minorHAnsi"/>
          <w:sz w:val="24"/>
          <w:szCs w:val="24"/>
        </w:rPr>
        <w:t>9</w:t>
      </w:r>
      <w:r w:rsidRPr="00DC4B60">
        <w:rPr>
          <w:rFonts w:eastAsia="Times New Roman" w:cstheme="minorHAnsi"/>
          <w:sz w:val="24"/>
          <w:szCs w:val="24"/>
        </w:rPr>
        <w:t>% του συνόλου των επιχειρήσεων) το ποσο</w:t>
      </w:r>
      <w:r w:rsidR="007E7529">
        <w:rPr>
          <w:rFonts w:eastAsia="Times New Roman" w:cstheme="minorHAnsi"/>
          <w:sz w:val="24"/>
          <w:szCs w:val="24"/>
        </w:rPr>
        <w:t>στό που δήλωσε ότι δεν θα μπορέσει να ανταποκριθεί στις υποχρεώσεις του</w:t>
      </w:r>
      <w:r w:rsidRPr="00DC4B60">
        <w:rPr>
          <w:rFonts w:eastAsia="Times New Roman" w:cstheme="minorHAnsi"/>
          <w:sz w:val="24"/>
          <w:szCs w:val="24"/>
        </w:rPr>
        <w:t xml:space="preserve"> προς το πρώην ΙΚΑ αντιστοιχεί στο </w:t>
      </w:r>
      <w:r w:rsidR="00BA1B06">
        <w:rPr>
          <w:rFonts w:eastAsia="Times New Roman" w:cstheme="minorHAnsi"/>
          <w:sz w:val="24"/>
          <w:szCs w:val="24"/>
        </w:rPr>
        <w:t>11</w:t>
      </w:r>
      <w:r w:rsidRPr="00DC4B60">
        <w:rPr>
          <w:rFonts w:eastAsia="Times New Roman" w:cstheme="minorHAnsi"/>
          <w:sz w:val="24"/>
          <w:szCs w:val="24"/>
        </w:rPr>
        <w:t>%</w:t>
      </w:r>
      <w:r w:rsidR="00BA1B06">
        <w:rPr>
          <w:rFonts w:eastAsia="Times New Roman" w:cstheme="minorHAnsi"/>
          <w:sz w:val="24"/>
          <w:szCs w:val="24"/>
        </w:rPr>
        <w:t>)</w:t>
      </w:r>
      <w:r w:rsidRPr="00DC4B60">
        <w:rPr>
          <w:rFonts w:eastAsia="Times New Roman" w:cstheme="minorHAnsi"/>
          <w:sz w:val="24"/>
          <w:szCs w:val="24"/>
        </w:rPr>
        <w:t>.</w:t>
      </w:r>
    </w:p>
    <w:p w:rsidR="00DC4B60" w:rsidRPr="00D268F0" w:rsidRDefault="0003191B" w:rsidP="00700BFC">
      <w:pPr>
        <w:spacing w:after="0" w:line="360" w:lineRule="auto"/>
        <w:jc w:val="both"/>
        <w:rPr>
          <w:rFonts w:eastAsia="Times New Roman" w:cstheme="minorHAnsi"/>
          <w:sz w:val="24"/>
          <w:szCs w:val="24"/>
        </w:rPr>
      </w:pPr>
      <w:r>
        <w:rPr>
          <w:noProof/>
        </w:rPr>
        <w:drawing>
          <wp:inline distT="0" distB="0" distL="0" distR="0" wp14:anchorId="1277CDC7" wp14:editId="191E0417">
            <wp:extent cx="6660515" cy="2646680"/>
            <wp:effectExtent l="0" t="0" r="0" b="0"/>
            <wp:docPr id="62" name="Γράφημα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268F0" w:rsidRPr="00D268F0" w:rsidRDefault="00D268F0" w:rsidP="00700BFC">
      <w:pPr>
        <w:spacing w:after="0" w:line="360" w:lineRule="auto"/>
        <w:jc w:val="both"/>
        <w:rPr>
          <w:rFonts w:eastAsia="Times New Roman" w:cstheme="minorHAnsi"/>
          <w:sz w:val="24"/>
          <w:szCs w:val="24"/>
        </w:rPr>
      </w:pPr>
    </w:p>
    <w:p w:rsidR="00D268F0" w:rsidRPr="00D268F0" w:rsidRDefault="00D268F0" w:rsidP="00700BFC">
      <w:pPr>
        <w:numPr>
          <w:ilvl w:val="0"/>
          <w:numId w:val="5"/>
        </w:numPr>
        <w:spacing w:after="0" w:line="360" w:lineRule="auto"/>
        <w:contextualSpacing/>
        <w:jc w:val="both"/>
        <w:rPr>
          <w:rFonts w:eastAsia="Times New Roman" w:cstheme="minorHAnsi"/>
          <w:sz w:val="24"/>
          <w:szCs w:val="24"/>
          <w:u w:val="single"/>
        </w:rPr>
      </w:pPr>
      <w:r w:rsidRPr="00D268F0">
        <w:rPr>
          <w:rFonts w:eastAsia="Times New Roman" w:cstheme="minorHAnsi"/>
          <w:b/>
          <w:bCs/>
          <w:sz w:val="24"/>
          <w:szCs w:val="24"/>
          <w:u w:val="single"/>
        </w:rPr>
        <w:t xml:space="preserve">Δείκτες αβεβαιότητας και βιωσιμότητας </w:t>
      </w:r>
    </w:p>
    <w:p w:rsidR="004E366C" w:rsidRPr="004E366C" w:rsidRDefault="004E366C" w:rsidP="00700BFC">
      <w:pPr>
        <w:spacing w:after="0" w:line="360" w:lineRule="auto"/>
        <w:jc w:val="both"/>
        <w:rPr>
          <w:rFonts w:eastAsia="Times New Roman" w:cstheme="minorHAnsi"/>
          <w:sz w:val="24"/>
          <w:szCs w:val="24"/>
        </w:rPr>
      </w:pPr>
      <w:r w:rsidRPr="004E366C">
        <w:rPr>
          <w:rFonts w:eastAsia="Times New Roman" w:cstheme="minorHAnsi"/>
          <w:sz w:val="24"/>
          <w:szCs w:val="24"/>
        </w:rPr>
        <w:t>Σημαντική άνοδο παρουσιάζει ο</w:t>
      </w:r>
      <w:r w:rsidR="00D268F0" w:rsidRPr="004E366C">
        <w:rPr>
          <w:rFonts w:eastAsia="Times New Roman" w:cstheme="minorHAnsi"/>
          <w:sz w:val="24"/>
          <w:szCs w:val="24"/>
        </w:rPr>
        <w:t xml:space="preserve"> δείκτης αβεβαιότητας</w:t>
      </w:r>
      <w:r w:rsidR="00D268F0" w:rsidRPr="004E366C">
        <w:rPr>
          <w:rFonts w:eastAsia="Times New Roman" w:cstheme="minorHAnsi"/>
          <w:sz w:val="24"/>
          <w:szCs w:val="24"/>
          <w:vertAlign w:val="superscript"/>
        </w:rPr>
        <w:footnoteReference w:id="4"/>
      </w:r>
      <w:r w:rsidR="00D268F0" w:rsidRPr="004E366C">
        <w:rPr>
          <w:rFonts w:eastAsia="Times New Roman" w:cstheme="minorHAnsi"/>
          <w:sz w:val="24"/>
          <w:szCs w:val="24"/>
        </w:rPr>
        <w:t xml:space="preserve"> των μικρών και πολύ μικρών επιχειρήσεων, </w:t>
      </w:r>
      <w:r w:rsidRPr="004E366C">
        <w:rPr>
          <w:rFonts w:eastAsia="Times New Roman" w:cstheme="minorHAnsi"/>
          <w:sz w:val="24"/>
          <w:szCs w:val="24"/>
        </w:rPr>
        <w:t>καταγράφοντας το υψηλότερο επίπεδο που έχει αποτυπωθεί κατά τη διάρκεια της υγειονομικής κρίσης</w:t>
      </w:r>
      <w:r w:rsidR="00D268F0" w:rsidRPr="004E366C">
        <w:rPr>
          <w:rFonts w:eastAsia="Times New Roman" w:cstheme="minorHAnsi"/>
          <w:sz w:val="24"/>
          <w:szCs w:val="24"/>
        </w:rPr>
        <w:t xml:space="preserve">. Συγκεκριμένα, σχεδόν </w:t>
      </w:r>
      <w:r w:rsidRPr="004E366C">
        <w:rPr>
          <w:rFonts w:eastAsia="Times New Roman" w:cstheme="minorHAnsi"/>
          <w:sz w:val="24"/>
          <w:szCs w:val="24"/>
        </w:rPr>
        <w:t>4 στις 10</w:t>
      </w:r>
      <w:r w:rsidR="00D268F0" w:rsidRPr="004E366C">
        <w:rPr>
          <w:rFonts w:eastAsia="Times New Roman" w:cstheme="minorHAnsi"/>
          <w:sz w:val="24"/>
          <w:szCs w:val="24"/>
        </w:rPr>
        <w:t xml:space="preserve"> επιχειρήσεις (</w:t>
      </w:r>
      <w:r w:rsidRPr="004E366C">
        <w:rPr>
          <w:rFonts w:eastAsia="Times New Roman" w:cstheme="minorHAnsi"/>
          <w:sz w:val="24"/>
          <w:szCs w:val="24"/>
        </w:rPr>
        <w:t>38,6</w:t>
      </w:r>
      <w:r w:rsidR="00D268F0" w:rsidRPr="004E366C">
        <w:rPr>
          <w:rFonts w:eastAsia="Times New Roman" w:cstheme="minorHAnsi"/>
          <w:sz w:val="24"/>
          <w:szCs w:val="24"/>
        </w:rPr>
        <w:t xml:space="preserve">%) εκφράζουν φόβο για ενδεχόμενη διακοπή της δραστηριότητάς τους στο μέλλον. </w:t>
      </w:r>
    </w:p>
    <w:p w:rsidR="00D268F0" w:rsidRPr="00E140D7" w:rsidRDefault="00D268F0" w:rsidP="00700BFC">
      <w:pPr>
        <w:spacing w:after="0" w:line="360" w:lineRule="auto"/>
        <w:jc w:val="both"/>
        <w:rPr>
          <w:rFonts w:eastAsia="Times New Roman" w:cstheme="minorHAnsi"/>
          <w:sz w:val="24"/>
          <w:szCs w:val="24"/>
        </w:rPr>
      </w:pPr>
      <w:r w:rsidRPr="00E140D7">
        <w:rPr>
          <w:rFonts w:eastAsia="Times New Roman" w:cstheme="minorHAnsi"/>
          <w:sz w:val="24"/>
          <w:szCs w:val="24"/>
        </w:rPr>
        <w:lastRenderedPageBreak/>
        <w:t xml:space="preserve">Είναι προφανές πως </w:t>
      </w:r>
      <w:r w:rsidR="005D40E0" w:rsidRPr="00E140D7">
        <w:rPr>
          <w:rFonts w:eastAsia="Times New Roman" w:cstheme="minorHAnsi"/>
          <w:sz w:val="24"/>
          <w:szCs w:val="24"/>
        </w:rPr>
        <w:t xml:space="preserve"> η παράλληλη εξέλιξη της υγειονομικής, ενεργειακής και γεωπολιτικής κρίσης έχ</w:t>
      </w:r>
      <w:r w:rsidR="007E7529">
        <w:rPr>
          <w:rFonts w:eastAsia="Times New Roman" w:cstheme="minorHAnsi"/>
          <w:sz w:val="24"/>
          <w:szCs w:val="24"/>
        </w:rPr>
        <w:t>ει</w:t>
      </w:r>
      <w:r w:rsidR="005D40E0" w:rsidRPr="00E140D7">
        <w:rPr>
          <w:rFonts w:eastAsia="Times New Roman" w:cstheme="minorHAnsi"/>
          <w:sz w:val="24"/>
          <w:szCs w:val="24"/>
        </w:rPr>
        <w:t xml:space="preserve"> εντείν</w:t>
      </w:r>
      <w:r w:rsidR="007E7529">
        <w:rPr>
          <w:rFonts w:eastAsia="Times New Roman" w:cstheme="minorHAnsi"/>
          <w:sz w:val="24"/>
          <w:szCs w:val="24"/>
        </w:rPr>
        <w:t>ει</w:t>
      </w:r>
      <w:r w:rsidR="005D40E0" w:rsidRPr="00E140D7">
        <w:rPr>
          <w:rFonts w:eastAsia="Times New Roman" w:cstheme="minorHAnsi"/>
          <w:sz w:val="24"/>
          <w:szCs w:val="24"/>
        </w:rPr>
        <w:t xml:space="preserve"> την ανασφάλεια τω</w:t>
      </w:r>
      <w:r w:rsidR="007E7529">
        <w:rPr>
          <w:rFonts w:eastAsia="Times New Roman" w:cstheme="minorHAnsi"/>
          <w:sz w:val="24"/>
          <w:szCs w:val="24"/>
        </w:rPr>
        <w:t>ν επιχειρηματιών για το μέλλον.</w:t>
      </w:r>
    </w:p>
    <w:p w:rsidR="00D268F0" w:rsidRPr="00E140D7" w:rsidRDefault="00D268F0" w:rsidP="00700BFC">
      <w:pPr>
        <w:spacing w:after="0" w:line="360" w:lineRule="auto"/>
        <w:jc w:val="both"/>
        <w:rPr>
          <w:rFonts w:eastAsia="Times New Roman" w:cstheme="minorHAnsi"/>
          <w:sz w:val="24"/>
          <w:szCs w:val="24"/>
        </w:rPr>
      </w:pPr>
      <w:r w:rsidRPr="00E140D7">
        <w:rPr>
          <w:rFonts w:eastAsia="Times New Roman" w:cstheme="minorHAnsi"/>
          <w:sz w:val="24"/>
          <w:szCs w:val="24"/>
        </w:rPr>
        <w:t xml:space="preserve">Επιπλέον, </w:t>
      </w:r>
      <w:r w:rsidR="005D40E0" w:rsidRPr="00E140D7">
        <w:rPr>
          <w:rFonts w:eastAsia="Times New Roman" w:cstheme="minorHAnsi"/>
          <w:sz w:val="24"/>
          <w:szCs w:val="24"/>
        </w:rPr>
        <w:t xml:space="preserve">τα προβλήματα ρευστότητας </w:t>
      </w:r>
      <w:r w:rsidR="00E140D7" w:rsidRPr="00E140D7">
        <w:rPr>
          <w:rFonts w:eastAsia="Times New Roman" w:cstheme="minorHAnsi"/>
          <w:sz w:val="24"/>
          <w:szCs w:val="24"/>
        </w:rPr>
        <w:t xml:space="preserve">και υπερχρέωσης </w:t>
      </w:r>
      <w:r w:rsidR="005D40E0" w:rsidRPr="00E140D7">
        <w:rPr>
          <w:rFonts w:eastAsia="Times New Roman" w:cstheme="minorHAnsi"/>
          <w:sz w:val="24"/>
          <w:szCs w:val="24"/>
        </w:rPr>
        <w:t>που</w:t>
      </w:r>
      <w:r w:rsidR="00E140D7" w:rsidRPr="00E140D7">
        <w:rPr>
          <w:rFonts w:eastAsia="Times New Roman" w:cstheme="minorHAnsi"/>
          <w:sz w:val="24"/>
          <w:szCs w:val="24"/>
        </w:rPr>
        <w:t xml:space="preserve"> κυρίως</w:t>
      </w:r>
      <w:r w:rsidR="005D40E0" w:rsidRPr="00E140D7">
        <w:rPr>
          <w:rFonts w:eastAsia="Times New Roman" w:cstheme="minorHAnsi"/>
          <w:sz w:val="24"/>
          <w:szCs w:val="24"/>
        </w:rPr>
        <w:t xml:space="preserve"> καταγράφουν </w:t>
      </w:r>
      <w:r w:rsidR="00E140D7" w:rsidRPr="00E140D7">
        <w:rPr>
          <w:rFonts w:eastAsia="Times New Roman" w:cstheme="minorHAnsi"/>
          <w:sz w:val="24"/>
          <w:szCs w:val="24"/>
        </w:rPr>
        <w:t>οι</w:t>
      </w:r>
      <w:r w:rsidR="005D40E0" w:rsidRPr="00E140D7">
        <w:rPr>
          <w:rFonts w:eastAsia="Times New Roman" w:cstheme="minorHAnsi"/>
          <w:sz w:val="24"/>
          <w:szCs w:val="24"/>
        </w:rPr>
        <w:t xml:space="preserve"> </w:t>
      </w:r>
      <w:r w:rsidR="00E140D7" w:rsidRPr="00E140D7">
        <w:rPr>
          <w:rFonts w:eastAsia="Times New Roman" w:cstheme="minorHAnsi"/>
          <w:sz w:val="24"/>
          <w:szCs w:val="24"/>
        </w:rPr>
        <w:t xml:space="preserve">πολυάριθμες </w:t>
      </w:r>
      <w:r w:rsidR="005D40E0" w:rsidRPr="00E140D7">
        <w:rPr>
          <w:rFonts w:eastAsia="Times New Roman" w:cstheme="minorHAnsi"/>
          <w:sz w:val="24"/>
          <w:szCs w:val="24"/>
        </w:rPr>
        <w:t>μικρότερες επιχειρήσεις</w:t>
      </w:r>
      <w:r w:rsidR="00E140D7" w:rsidRPr="00E140D7">
        <w:rPr>
          <w:rFonts w:eastAsia="Times New Roman" w:cstheme="minorHAnsi"/>
          <w:sz w:val="24"/>
          <w:szCs w:val="24"/>
        </w:rPr>
        <w:t>, καθώς και οι επιχειρήσεις εστίασης</w:t>
      </w:r>
      <w:r w:rsidR="005D40E0" w:rsidRPr="00E140D7">
        <w:rPr>
          <w:rFonts w:eastAsia="Times New Roman" w:cstheme="minorHAnsi"/>
          <w:sz w:val="24"/>
          <w:szCs w:val="24"/>
        </w:rPr>
        <w:t xml:space="preserve"> </w:t>
      </w:r>
      <w:r w:rsidR="00E140D7" w:rsidRPr="00E140D7">
        <w:rPr>
          <w:rFonts w:eastAsia="Times New Roman" w:cstheme="minorHAnsi"/>
          <w:sz w:val="24"/>
          <w:szCs w:val="24"/>
        </w:rPr>
        <w:t>αποτελούν</w:t>
      </w:r>
      <w:r w:rsidRPr="00E140D7">
        <w:rPr>
          <w:rFonts w:eastAsia="Times New Roman" w:cstheme="minorHAnsi"/>
          <w:sz w:val="24"/>
          <w:szCs w:val="24"/>
        </w:rPr>
        <w:t xml:space="preserve"> έναν υπαρκτό/ουσιαστικό παράγοντα που επηρεάζει βάσιμα τη βιωσιμότητα των επιχειρήσεων αυτών. Αυτό προκύπτει και από τον δείκτη  βιωσιμότητας</w:t>
      </w:r>
      <w:r w:rsidRPr="00E140D7">
        <w:rPr>
          <w:rFonts w:eastAsia="Times New Roman" w:cstheme="minorHAnsi"/>
          <w:sz w:val="24"/>
          <w:szCs w:val="24"/>
          <w:vertAlign w:val="superscript"/>
        </w:rPr>
        <w:footnoteReference w:id="5"/>
      </w:r>
      <w:r w:rsidRPr="00E140D7">
        <w:rPr>
          <w:rFonts w:eastAsia="Times New Roman" w:cstheme="minorHAnsi"/>
          <w:sz w:val="24"/>
          <w:szCs w:val="24"/>
        </w:rPr>
        <w:t xml:space="preserve"> της παρούσας έρευνας, καθώς το ποσοστό των επιχειρήσεων που αντιμετωπίζουν άμεσο και πραγματικό κίνδυνο διακοπής της δραστηριότητάς τους ανήλθε στο </w:t>
      </w:r>
      <w:r w:rsidR="00E140D7" w:rsidRPr="00E140D7">
        <w:rPr>
          <w:rFonts w:eastAsia="Times New Roman" w:cstheme="minorHAnsi"/>
          <w:sz w:val="24"/>
          <w:szCs w:val="24"/>
        </w:rPr>
        <w:t>6,5</w:t>
      </w:r>
      <w:r w:rsidRPr="00E140D7">
        <w:rPr>
          <w:rFonts w:eastAsia="Times New Roman" w:cstheme="minorHAnsi"/>
          <w:sz w:val="24"/>
          <w:szCs w:val="24"/>
        </w:rPr>
        <w:t xml:space="preserve">%, </w:t>
      </w:r>
      <w:r w:rsidR="00E140D7" w:rsidRPr="00E140D7">
        <w:rPr>
          <w:rFonts w:eastAsia="Times New Roman" w:cstheme="minorHAnsi"/>
          <w:sz w:val="24"/>
          <w:szCs w:val="24"/>
        </w:rPr>
        <w:t xml:space="preserve">που αποτελεί και το </w:t>
      </w:r>
      <w:r w:rsidR="007E7529">
        <w:rPr>
          <w:rFonts w:eastAsia="Times New Roman" w:cstheme="minorHAnsi"/>
          <w:sz w:val="24"/>
          <w:szCs w:val="24"/>
        </w:rPr>
        <w:t>χειρότερο</w:t>
      </w:r>
      <w:r w:rsidR="00E140D7" w:rsidRPr="00E140D7">
        <w:rPr>
          <w:rFonts w:eastAsia="Times New Roman" w:cstheme="minorHAnsi"/>
          <w:sz w:val="24"/>
          <w:szCs w:val="24"/>
        </w:rPr>
        <w:t xml:space="preserve"> ποσοστό που έχει καταγραφεί κατά την πανδημική περίοδο.</w:t>
      </w:r>
    </w:p>
    <w:p w:rsidR="00D268F0" w:rsidRPr="00D268F0" w:rsidRDefault="00D268F0" w:rsidP="00700BFC">
      <w:pPr>
        <w:spacing w:after="0" w:line="360" w:lineRule="auto"/>
        <w:jc w:val="both"/>
        <w:rPr>
          <w:rFonts w:eastAsia="Times New Roman" w:cstheme="minorHAnsi"/>
          <w:sz w:val="24"/>
          <w:szCs w:val="24"/>
        </w:rPr>
      </w:pPr>
    </w:p>
    <w:p w:rsidR="00D268F0" w:rsidRDefault="0003191B" w:rsidP="00700BFC">
      <w:pPr>
        <w:spacing w:after="0" w:line="360" w:lineRule="auto"/>
        <w:jc w:val="both"/>
        <w:rPr>
          <w:b/>
          <w:sz w:val="24"/>
          <w:szCs w:val="24"/>
          <w:u w:val="single"/>
        </w:rPr>
      </w:pPr>
      <w:r>
        <w:rPr>
          <w:noProof/>
        </w:rPr>
        <w:drawing>
          <wp:inline distT="0" distB="0" distL="0" distR="0" wp14:anchorId="2F8FB40F" wp14:editId="36FB64CA">
            <wp:extent cx="6469380" cy="2743200"/>
            <wp:effectExtent l="0" t="0" r="0" b="0"/>
            <wp:docPr id="63" name="Γράφημα 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BD3871-217D-7A81-BFDD-C404C56C4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3A82" w:rsidRDefault="007A3A82" w:rsidP="00700BFC">
      <w:pPr>
        <w:spacing w:after="0" w:line="360" w:lineRule="auto"/>
        <w:jc w:val="both"/>
        <w:rPr>
          <w:b/>
          <w:sz w:val="24"/>
          <w:szCs w:val="24"/>
          <w:u w:val="single"/>
        </w:rPr>
      </w:pPr>
    </w:p>
    <w:p w:rsidR="007A3A82" w:rsidRDefault="007A3A82"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Default="00B36044" w:rsidP="00700BFC">
      <w:pPr>
        <w:spacing w:after="0" w:line="360" w:lineRule="auto"/>
        <w:jc w:val="both"/>
        <w:rPr>
          <w:b/>
          <w:sz w:val="24"/>
          <w:szCs w:val="24"/>
          <w:u w:val="single"/>
          <w:lang w:val="en-US"/>
        </w:rPr>
      </w:pPr>
    </w:p>
    <w:p w:rsidR="00B36044" w:rsidRPr="002B7D15" w:rsidRDefault="00B36044" w:rsidP="00700BFC">
      <w:pPr>
        <w:spacing w:after="0" w:line="360" w:lineRule="auto"/>
        <w:jc w:val="both"/>
        <w:rPr>
          <w:b/>
          <w:sz w:val="24"/>
          <w:szCs w:val="24"/>
          <w:u w:val="single"/>
        </w:rPr>
      </w:pPr>
    </w:p>
    <w:tbl>
      <w:tblPr>
        <w:tblW w:w="5000" w:type="pct"/>
        <w:tblLook w:val="04A0" w:firstRow="1" w:lastRow="0" w:firstColumn="1" w:lastColumn="0" w:noHBand="0" w:noVBand="1"/>
      </w:tblPr>
      <w:tblGrid>
        <w:gridCol w:w="5280"/>
        <w:gridCol w:w="3616"/>
        <w:gridCol w:w="1809"/>
      </w:tblGrid>
      <w:tr w:rsidR="007A3A82" w:rsidRPr="007A3A82" w:rsidTr="007A3A82">
        <w:trPr>
          <w:trHeight w:val="300"/>
        </w:trPr>
        <w:tc>
          <w:tcPr>
            <w:tcW w:w="5000" w:type="pct"/>
            <w:gridSpan w:val="3"/>
            <w:tcBorders>
              <w:top w:val="single" w:sz="12" w:space="0" w:color="auto"/>
              <w:left w:val="single" w:sz="12" w:space="0" w:color="auto"/>
              <w:bottom w:val="single" w:sz="4" w:space="0" w:color="auto"/>
              <w:right w:val="single" w:sz="12" w:space="0" w:color="000000"/>
            </w:tcBorders>
            <w:shd w:val="clear" w:color="D9E1F2" w:fill="D9E1F2"/>
            <w:noWrap/>
            <w:vAlign w:val="bottom"/>
            <w:hideMark/>
          </w:tcPr>
          <w:p w:rsidR="007A3A82" w:rsidRPr="007A3A82" w:rsidRDefault="007A3A82" w:rsidP="00700BFC">
            <w:pPr>
              <w:spacing w:after="0" w:line="240" w:lineRule="auto"/>
              <w:jc w:val="center"/>
              <w:rPr>
                <w:rFonts w:eastAsia="Times New Roman" w:cstheme="minorHAnsi"/>
                <w:b/>
                <w:bCs/>
                <w:color w:val="000000"/>
                <w:sz w:val="28"/>
                <w:szCs w:val="28"/>
                <w:lang w:val="en-US"/>
              </w:rPr>
            </w:pPr>
            <w:r w:rsidRPr="007A3A82">
              <w:rPr>
                <w:rFonts w:eastAsia="Times New Roman" w:cstheme="minorHAnsi"/>
                <w:b/>
                <w:bCs/>
                <w:color w:val="000000"/>
                <w:sz w:val="28"/>
                <w:szCs w:val="28"/>
                <w:lang w:val="en-US"/>
              </w:rPr>
              <w:t>ΣΥΝΘΕΣΗ ΔΕΙΓΜΑΤΟΣ</w:t>
            </w:r>
          </w:p>
        </w:tc>
      </w:tr>
      <w:tr w:rsidR="007A3A82" w:rsidRPr="007A3A82"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ΚΛΑΔΟΣ</w:t>
            </w: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Εμ</w:t>
            </w:r>
            <w:proofErr w:type="spellEnd"/>
            <w:r w:rsidRPr="007A3A82">
              <w:rPr>
                <w:rFonts w:eastAsia="Times New Roman" w:cstheme="minorHAnsi"/>
                <w:color w:val="000000"/>
                <w:sz w:val="24"/>
                <w:szCs w:val="24"/>
                <w:lang w:val="en-US"/>
              </w:rPr>
              <w:t>πόριο</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37,3%</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Μετ</w:t>
            </w:r>
            <w:proofErr w:type="spellEnd"/>
            <w:r w:rsidRPr="007A3A82">
              <w:rPr>
                <w:rFonts w:eastAsia="Times New Roman" w:cstheme="minorHAnsi"/>
                <w:color w:val="000000"/>
                <w:sz w:val="24"/>
                <w:szCs w:val="24"/>
                <w:lang w:val="en-US"/>
              </w:rPr>
              <w:t>αποίηση</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24,1%</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Υπ</w:t>
            </w:r>
            <w:proofErr w:type="spellStart"/>
            <w:r w:rsidRPr="007A3A82">
              <w:rPr>
                <w:rFonts w:eastAsia="Times New Roman" w:cstheme="minorHAnsi"/>
                <w:color w:val="000000"/>
                <w:sz w:val="24"/>
                <w:szCs w:val="24"/>
                <w:lang w:val="en-US"/>
              </w:rPr>
              <w:t>ηρεσίες</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38,6%</w:t>
            </w:r>
          </w:p>
        </w:tc>
      </w:tr>
      <w:tr w:rsidR="007A3A82" w:rsidRPr="007A3A82"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ΝΟΜΙΚΗ ΜΟΡΦΗ</w:t>
            </w: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Ατομική</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63,3%</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ΟΕ-ΕΕ</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22,6%</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ΙΚΕ </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4,7%</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ΕΠΕ</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2,7%</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ΑΕ</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6,6%</w:t>
            </w:r>
          </w:p>
        </w:tc>
      </w:tr>
      <w:tr w:rsidR="007A3A82" w:rsidRPr="007A3A82"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 ΛΕΙΤΟΥΡΓΙΑΣ</w:t>
            </w: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14,5%</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5-10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11,1%</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10-15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10,7%</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15 και </w:t>
            </w:r>
            <w:proofErr w:type="spellStart"/>
            <w:r w:rsidRPr="007A3A82">
              <w:rPr>
                <w:rFonts w:eastAsia="Times New Roman" w:cstheme="minorHAnsi"/>
                <w:color w:val="000000"/>
                <w:sz w:val="24"/>
                <w:szCs w:val="24"/>
                <w:lang w:val="en-US"/>
              </w:rPr>
              <w:t>άνω</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63,5%</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0,1%</w:t>
            </w:r>
          </w:p>
        </w:tc>
      </w:tr>
      <w:tr w:rsidR="007A3A82" w:rsidRPr="007A3A82"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ΑΡΙΘΜΟΣ ΕΡΓΑΖΟΜΕΝΩΝ</w:t>
            </w: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Χωρίς</w:t>
            </w:r>
            <w:proofErr w:type="spellEnd"/>
            <w:r w:rsidRPr="007A3A82">
              <w:rPr>
                <w:rFonts w:eastAsia="Times New Roman" w:cstheme="minorHAnsi"/>
                <w:color w:val="000000"/>
                <w:sz w:val="24"/>
                <w:szCs w:val="24"/>
                <w:lang w:val="en-US"/>
              </w:rPr>
              <w:t xml:space="preserve"> π</w:t>
            </w:r>
            <w:proofErr w:type="spellStart"/>
            <w:r w:rsidRPr="007A3A82">
              <w:rPr>
                <w:rFonts w:eastAsia="Times New Roman" w:cstheme="minorHAnsi"/>
                <w:color w:val="000000"/>
                <w:sz w:val="24"/>
                <w:szCs w:val="24"/>
                <w:lang w:val="en-US"/>
              </w:rPr>
              <w:t>ροσω</w:t>
            </w:r>
            <w:proofErr w:type="spellEnd"/>
            <w:r w:rsidRPr="007A3A82">
              <w:rPr>
                <w:rFonts w:eastAsia="Times New Roman" w:cstheme="minorHAnsi"/>
                <w:color w:val="000000"/>
                <w:sz w:val="24"/>
                <w:szCs w:val="24"/>
                <w:lang w:val="en-US"/>
              </w:rPr>
              <w:t>πικό</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34,7%</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4</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45,3%</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5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9</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12,6%</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10 και </w:t>
            </w:r>
            <w:proofErr w:type="spellStart"/>
            <w:r w:rsidRPr="007A3A82">
              <w:rPr>
                <w:rFonts w:eastAsia="Times New Roman" w:cstheme="minorHAnsi"/>
                <w:color w:val="000000"/>
                <w:sz w:val="24"/>
                <w:szCs w:val="24"/>
                <w:lang w:val="en-US"/>
              </w:rPr>
              <w:t>άνω</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7,0%</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0,4%</w:t>
            </w:r>
          </w:p>
        </w:tc>
      </w:tr>
      <w:tr w:rsidR="007A3A82" w:rsidRPr="007A3A82"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ΕΤΗΣΙΟΣ ΚΥΚΛΟΣ ΕΡΓΑΣΙΩΝ</w:t>
            </w: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44,6%</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50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 xml:space="preserve">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100.000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16,7%</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100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-300.000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17,2%</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300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-500.000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4,5%</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500.00</w:t>
            </w:r>
            <w:r w:rsidRPr="007A3A82">
              <w:rPr>
                <w:rFonts w:eastAsia="Times New Roman" w:cstheme="minorHAnsi"/>
                <w:color w:val="000000"/>
                <w:sz w:val="24"/>
                <w:szCs w:val="24"/>
              </w:rPr>
              <w:t>1-</w:t>
            </w:r>
            <w:r w:rsidRPr="007A3A82">
              <w:rPr>
                <w:rFonts w:eastAsia="Times New Roman" w:cstheme="minorHAnsi"/>
                <w:color w:val="000000"/>
                <w:sz w:val="24"/>
                <w:szCs w:val="24"/>
                <w:lang w:val="en-US"/>
              </w:rPr>
              <w:t>1.000.000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4,1%</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rPr>
            </w:pPr>
            <w:proofErr w:type="spellStart"/>
            <w:r w:rsidRPr="007A3A82">
              <w:rPr>
                <w:rFonts w:eastAsia="Times New Roman" w:cstheme="minorHAnsi"/>
                <w:color w:val="000000"/>
                <w:sz w:val="24"/>
                <w:szCs w:val="24"/>
                <w:lang w:val="en-US"/>
              </w:rPr>
              <w:t>Πάνω</w:t>
            </w:r>
            <w:proofErr w:type="spellEnd"/>
            <w:r w:rsidRPr="007A3A82">
              <w:rPr>
                <w:rFonts w:eastAsia="Times New Roman" w:cstheme="minorHAnsi"/>
                <w:color w:val="000000"/>
                <w:sz w:val="24"/>
                <w:szCs w:val="24"/>
                <w:lang w:val="en-US"/>
              </w:rPr>
              <w:t xml:space="preserve"> από 1.000.000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4,4%</w:t>
            </w:r>
          </w:p>
        </w:tc>
      </w:tr>
      <w:tr w:rsidR="007A3A82" w:rsidRPr="007A3A82"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8,5%</w:t>
            </w:r>
          </w:p>
        </w:tc>
      </w:tr>
      <w:tr w:rsidR="007A3A82" w:rsidRPr="007A3A82" w:rsidTr="007A3A82">
        <w:trPr>
          <w:trHeight w:val="288"/>
        </w:trPr>
        <w:tc>
          <w:tcPr>
            <w:tcW w:w="2466" w:type="pct"/>
            <w:vMerge w:val="restart"/>
            <w:tcBorders>
              <w:top w:val="nil"/>
              <w:left w:val="single" w:sz="12" w:space="0" w:color="auto"/>
              <w:bottom w:val="single" w:sz="12" w:space="0" w:color="000000"/>
              <w:right w:val="single" w:sz="4" w:space="0" w:color="auto"/>
            </w:tcBorders>
            <w:shd w:val="clear" w:color="D9E1F2" w:fill="D9E1F2"/>
            <w:vAlign w:val="center"/>
            <w:hideMark/>
          </w:tcPr>
          <w:p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ΓΕΩΓΡΑΦΙΚΗ ΠΕΡΙΟΧΗ</w:t>
            </w: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EL3 ΑΤΤΙΚΗ</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36,3%</w:t>
            </w:r>
          </w:p>
        </w:tc>
      </w:tr>
      <w:tr w:rsidR="007A3A82" w:rsidRPr="007A3A82"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EL5 ΒΟΡΕΙΑ ΕΛΛΑΔΑ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27,1%</w:t>
            </w:r>
          </w:p>
        </w:tc>
      </w:tr>
      <w:tr w:rsidR="007A3A82" w:rsidRPr="007A3A82"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EL6 ΚΕΝΤΡΙΚΗ ΕΛΛΑΔΑ</w:t>
            </w:r>
          </w:p>
        </w:tc>
        <w:tc>
          <w:tcPr>
            <w:tcW w:w="844" w:type="pct"/>
            <w:tcBorders>
              <w:top w:val="nil"/>
              <w:left w:val="nil"/>
              <w:bottom w:val="single" w:sz="4"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23,6%</w:t>
            </w:r>
          </w:p>
        </w:tc>
      </w:tr>
      <w:tr w:rsidR="007A3A82" w:rsidRPr="007A3A82" w:rsidTr="007A3A82">
        <w:trPr>
          <w:trHeight w:val="300"/>
        </w:trPr>
        <w:tc>
          <w:tcPr>
            <w:tcW w:w="2466" w:type="pct"/>
            <w:vMerge/>
            <w:tcBorders>
              <w:top w:val="nil"/>
              <w:left w:val="single" w:sz="12" w:space="0" w:color="auto"/>
              <w:bottom w:val="single" w:sz="12" w:space="0" w:color="000000"/>
              <w:right w:val="single" w:sz="4" w:space="0" w:color="auto"/>
            </w:tcBorders>
            <w:vAlign w:val="center"/>
            <w:hideMark/>
          </w:tcPr>
          <w:p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12" w:space="0" w:color="auto"/>
              <w:right w:val="single" w:sz="4" w:space="0" w:color="auto"/>
            </w:tcBorders>
            <w:shd w:val="clear" w:color="auto" w:fill="auto"/>
            <w:noWrap/>
            <w:vAlign w:val="bottom"/>
            <w:hideMark/>
          </w:tcPr>
          <w:p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EL4 ΝΗΣΙΑ ΑΙΓΑΙΟΥ &amp; ΚΡΗΤΗ</w:t>
            </w:r>
          </w:p>
        </w:tc>
        <w:tc>
          <w:tcPr>
            <w:tcW w:w="844" w:type="pct"/>
            <w:tcBorders>
              <w:top w:val="nil"/>
              <w:left w:val="nil"/>
              <w:bottom w:val="single" w:sz="12" w:space="0" w:color="auto"/>
              <w:right w:val="single" w:sz="12" w:space="0" w:color="auto"/>
            </w:tcBorders>
            <w:shd w:val="clear" w:color="auto" w:fill="auto"/>
            <w:noWrap/>
            <w:vAlign w:val="bottom"/>
            <w:hideMark/>
          </w:tcPr>
          <w:p w:rsidR="007A3A82" w:rsidRPr="007A3A82" w:rsidRDefault="007A3A82" w:rsidP="00700BFC">
            <w:pPr>
              <w:spacing w:after="0" w:line="240" w:lineRule="auto"/>
              <w:jc w:val="center"/>
              <w:rPr>
                <w:rFonts w:eastAsia="Times New Roman" w:cstheme="minorHAnsi"/>
                <w:color w:val="000000"/>
                <w:sz w:val="24"/>
                <w:szCs w:val="24"/>
                <w:lang w:val="en-US"/>
              </w:rPr>
            </w:pPr>
            <w:r w:rsidRPr="007A3A82">
              <w:rPr>
                <w:rFonts w:eastAsia="Times New Roman" w:cstheme="minorHAnsi"/>
                <w:color w:val="000000"/>
                <w:sz w:val="24"/>
                <w:szCs w:val="24"/>
                <w:lang w:val="en-US"/>
              </w:rPr>
              <w:t>13,0%</w:t>
            </w:r>
          </w:p>
        </w:tc>
      </w:tr>
    </w:tbl>
    <w:p w:rsidR="007A3A82" w:rsidRPr="007A3A82" w:rsidRDefault="007A3A82" w:rsidP="00700BFC">
      <w:pPr>
        <w:spacing w:after="0" w:line="360" w:lineRule="auto"/>
        <w:jc w:val="both"/>
        <w:rPr>
          <w:rFonts w:cstheme="minorHAnsi"/>
          <w:b/>
          <w:sz w:val="24"/>
          <w:szCs w:val="24"/>
          <w:u w:val="single"/>
        </w:rPr>
      </w:pPr>
    </w:p>
    <w:sectPr w:rsidR="007A3A82" w:rsidRPr="007A3A82" w:rsidSect="007A04DD">
      <w:headerReference w:type="default" r:id="rId41"/>
      <w:footerReference w:type="default" r:id="rId42"/>
      <w:pgSz w:w="11906" w:h="16838"/>
      <w:pgMar w:top="1745" w:right="566" w:bottom="993"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709" w:rsidRDefault="00831709" w:rsidP="00F23403">
      <w:pPr>
        <w:spacing w:after="0" w:line="240" w:lineRule="auto"/>
      </w:pPr>
      <w:r>
        <w:separator/>
      </w:r>
    </w:p>
  </w:endnote>
  <w:endnote w:type="continuationSeparator" w:id="0">
    <w:p w:rsidR="00831709" w:rsidRDefault="00831709" w:rsidP="00F2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752160"/>
      <w:docPartObj>
        <w:docPartGallery w:val="Page Numbers (Bottom of Page)"/>
        <w:docPartUnique/>
      </w:docPartObj>
    </w:sdtPr>
    <w:sdtContent>
      <w:p w:rsidR="00A94CEE" w:rsidRDefault="00A94CEE">
        <w:pPr>
          <w:pStyle w:val="a6"/>
          <w:jc w:val="right"/>
        </w:pPr>
        <w:r>
          <w:fldChar w:fldCharType="begin"/>
        </w:r>
        <w:r>
          <w:instrText>PAGE   \* MERGEFORMAT</w:instrText>
        </w:r>
        <w:r>
          <w:fldChar w:fldCharType="separate"/>
        </w:r>
        <w:r w:rsidR="00700BFC">
          <w:rPr>
            <w:noProof/>
          </w:rPr>
          <w:t>5</w:t>
        </w:r>
        <w:r>
          <w:fldChar w:fldCharType="end"/>
        </w:r>
      </w:p>
    </w:sdtContent>
  </w:sdt>
  <w:p w:rsidR="00A94CEE" w:rsidRDefault="00A94CE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709" w:rsidRDefault="00831709" w:rsidP="00F23403">
      <w:pPr>
        <w:spacing w:after="0" w:line="240" w:lineRule="auto"/>
      </w:pPr>
      <w:r>
        <w:separator/>
      </w:r>
    </w:p>
  </w:footnote>
  <w:footnote w:type="continuationSeparator" w:id="0">
    <w:p w:rsidR="00831709" w:rsidRDefault="00831709" w:rsidP="00F23403">
      <w:pPr>
        <w:spacing w:after="0" w:line="240" w:lineRule="auto"/>
      </w:pPr>
      <w:r>
        <w:continuationSeparator/>
      </w:r>
    </w:p>
  </w:footnote>
  <w:footnote w:id="1">
    <w:p w:rsidR="00A94CEE" w:rsidRPr="001E0D9A" w:rsidRDefault="00A94CEE" w:rsidP="00CC6E2A">
      <w:pPr>
        <w:spacing w:after="0" w:line="360" w:lineRule="auto"/>
        <w:jc w:val="both"/>
        <w:rPr>
          <w:rFonts w:ascii="Times New Roman" w:hAnsi="Times New Roman" w:cs="Times New Roman"/>
          <w:sz w:val="16"/>
          <w:szCs w:val="16"/>
        </w:rPr>
      </w:pPr>
      <w:r w:rsidRPr="00B841AC">
        <w:rPr>
          <w:rStyle w:val="a9"/>
        </w:rPr>
        <w:footnoteRef/>
      </w:r>
      <w:r w:rsidRPr="00B841AC">
        <w:t xml:space="preserve"> </w:t>
      </w:r>
      <w:r w:rsidRPr="001E0D9A">
        <w:rPr>
          <w:sz w:val="16"/>
          <w:szCs w:val="16"/>
        </w:rPr>
        <w:t xml:space="preserve">Οι σχετικές έρευνες του ΙΜΕ ΓΣΕΒΕΕ έχουν ως βασικό στόχο την αποτύπωση του οικονομικού κλίματος στις πολύ μικρές και μικρές επιχειρήσεις, στους κλάδους της μεταποίησης, του εμπορίου και των υπηρεσιών, που αποτελούν το 99,6% των επιχειρήσεων στην Ελλάδα. Τα ευρήματα αυτής της έρευνας μπορούν να συγκριθούν με τα αντίστοιχα των προηγούμενων ερευνών (Μάιος 2009 – </w:t>
      </w:r>
      <w:r>
        <w:rPr>
          <w:sz w:val="16"/>
          <w:szCs w:val="16"/>
        </w:rPr>
        <w:t>Φεβρουάριος</w:t>
      </w:r>
      <w:r w:rsidRPr="001E0D9A">
        <w:rPr>
          <w:sz w:val="16"/>
          <w:szCs w:val="16"/>
        </w:rPr>
        <w:t xml:space="preserve"> 202</w:t>
      </w:r>
      <w:r>
        <w:rPr>
          <w:sz w:val="16"/>
          <w:szCs w:val="16"/>
        </w:rPr>
        <w:t>2</w:t>
      </w:r>
      <w:r w:rsidRPr="001E0D9A">
        <w:rPr>
          <w:sz w:val="16"/>
          <w:szCs w:val="16"/>
        </w:rPr>
        <w:t>). Οι έρευνες αυτές αποτελούν</w:t>
      </w:r>
      <w:r w:rsidRPr="005A25E4">
        <w:rPr>
          <w:sz w:val="16"/>
          <w:szCs w:val="16"/>
        </w:rPr>
        <w:t xml:space="preserve">  </w:t>
      </w:r>
      <w:r w:rsidRPr="001E0D9A">
        <w:rPr>
          <w:sz w:val="16"/>
          <w:szCs w:val="16"/>
        </w:rPr>
        <w:t xml:space="preserve">το μοναδικό εργαλείο, σε πανελλαδικό επίπεδο, για την καταγραφή της κατάστασης και της πορείας του μεγαλύτερου τμήματος της πραγματικής οικονομίας στην Ελλάδα. Τα πρωτογενή δεδομένα </w:t>
      </w:r>
      <w:r>
        <w:rPr>
          <w:sz w:val="16"/>
          <w:szCs w:val="16"/>
        </w:rPr>
        <w:t>των ερευνών</w:t>
      </w:r>
      <w:r w:rsidRPr="001E0D9A">
        <w:rPr>
          <w:sz w:val="16"/>
          <w:szCs w:val="16"/>
        </w:rPr>
        <w:t xml:space="preserve"> χρησιμοποιούνται από την Ευρωπαϊκή Συνομοσπονδία Μικρομεσαίων Επιχειρήσεων (SME </w:t>
      </w:r>
      <w:proofErr w:type="spellStart"/>
      <w:r w:rsidRPr="001E0D9A">
        <w:rPr>
          <w:sz w:val="16"/>
          <w:szCs w:val="16"/>
        </w:rPr>
        <w:t>United</w:t>
      </w:r>
      <w:proofErr w:type="spellEnd"/>
      <w:r w:rsidRPr="001E0D9A">
        <w:rPr>
          <w:sz w:val="16"/>
          <w:szCs w:val="16"/>
        </w:rPr>
        <w:t xml:space="preserve">) για την κατασκευή των δεικτών ευρωπαϊκού οικονομικού κλίματος και είναι συγκρίσιμα με τα στοιχεία άλλων χωρών της ΕΕ.  </w:t>
      </w:r>
    </w:p>
    <w:p w:rsidR="00A94CEE" w:rsidRDefault="00A94CEE" w:rsidP="00CC6E2A">
      <w:pPr>
        <w:pStyle w:val="a8"/>
      </w:pPr>
    </w:p>
  </w:footnote>
  <w:footnote w:id="2">
    <w:p w:rsidR="00A94CEE" w:rsidRDefault="00A94CEE" w:rsidP="00D7535C">
      <w:r>
        <w:rPr>
          <w:rStyle w:val="a9"/>
        </w:rPr>
        <w:footnoteRef/>
      </w:r>
      <w:r>
        <w:t xml:space="preserve"> </w:t>
      </w:r>
      <w:hyperlink r:id="rId1" w:history="1">
        <w:r w:rsidRPr="0054095F">
          <w:rPr>
            <w:rStyle w:val="-"/>
          </w:rPr>
          <w:t>Εθνική Τράπεζα Μικρομεσαίες Επιχειρήσεις: Έρευνα Συγκυρίας και Δείκτης Εμπιστοσύνης (Ιούνιος 2022)</w:t>
        </w:r>
      </w:hyperlink>
      <w:r>
        <w:t xml:space="preserve"> </w:t>
      </w:r>
    </w:p>
  </w:footnote>
  <w:footnote w:id="3">
    <w:p w:rsidR="00A94CEE" w:rsidRPr="00D7535C" w:rsidRDefault="00A94CEE" w:rsidP="00D7535C">
      <w:pPr>
        <w:spacing w:after="160" w:line="259" w:lineRule="auto"/>
        <w:jc w:val="both"/>
        <w:rPr>
          <w:rFonts w:eastAsiaTheme="minorHAnsi"/>
          <w:lang w:eastAsia="en-US"/>
        </w:rPr>
      </w:pPr>
      <w:r>
        <w:rPr>
          <w:rStyle w:val="a9"/>
        </w:rPr>
        <w:footnoteRef/>
      </w:r>
      <w:r>
        <w:t xml:space="preserve"> </w:t>
      </w:r>
      <w:hyperlink r:id="rId2" w:history="1">
        <w:r w:rsidRPr="0054095F">
          <w:rPr>
            <w:rStyle w:val="-"/>
            <w:lang w:eastAsia="en-US"/>
          </w:rPr>
          <w:t xml:space="preserve">European </w:t>
        </w:r>
        <w:proofErr w:type="spellStart"/>
        <w:r w:rsidRPr="0054095F">
          <w:rPr>
            <w:rStyle w:val="-"/>
            <w:lang w:eastAsia="en-US"/>
          </w:rPr>
          <w:t>Commission:Spring</w:t>
        </w:r>
        <w:proofErr w:type="spellEnd"/>
        <w:r w:rsidRPr="0054095F">
          <w:rPr>
            <w:rStyle w:val="-"/>
            <w:lang w:eastAsia="en-US"/>
          </w:rPr>
          <w:t xml:space="preserve"> 2022 </w:t>
        </w:r>
        <w:proofErr w:type="spellStart"/>
        <w:r w:rsidRPr="0054095F">
          <w:rPr>
            <w:rStyle w:val="-"/>
            <w:lang w:eastAsia="en-US"/>
          </w:rPr>
          <w:t>Economic</w:t>
        </w:r>
        <w:proofErr w:type="spellEnd"/>
        <w:r w:rsidRPr="0054095F">
          <w:rPr>
            <w:rStyle w:val="-"/>
            <w:lang w:eastAsia="en-US"/>
          </w:rPr>
          <w:t xml:space="preserve"> </w:t>
        </w:r>
        <w:proofErr w:type="spellStart"/>
        <w:r w:rsidRPr="0054095F">
          <w:rPr>
            <w:rStyle w:val="-"/>
            <w:lang w:eastAsia="en-US"/>
          </w:rPr>
          <w:t>Forecast</w:t>
        </w:r>
        <w:proofErr w:type="spellEnd"/>
      </w:hyperlink>
    </w:p>
  </w:footnote>
  <w:footnote w:id="4">
    <w:p w:rsidR="00A94CEE" w:rsidRPr="00265C8F" w:rsidRDefault="00A94CEE" w:rsidP="00AC6997">
      <w:pPr>
        <w:pStyle w:val="a8"/>
        <w:jc w:val="both"/>
      </w:pPr>
      <w:r>
        <w:rPr>
          <w:rStyle w:val="a9"/>
        </w:rPr>
        <w:footnoteRef/>
      </w:r>
      <w:r w:rsidRPr="00265C8F">
        <w:t xml:space="preserve"> </w:t>
      </w:r>
      <w:r>
        <w:t>Τα ποσοστά των επιχειρήσεων που στις έρευνες του ΙΜΕ ΓΣΕΒΕΕ δηλώνουν πως το επόμενο διάστημα είναι πολύ ή αρκετά πιθανό να διακόψουν τη δραστηριότητά τους συνιστούν τον δείκτη αβεβαιότητας.</w:t>
      </w:r>
    </w:p>
  </w:footnote>
  <w:footnote w:id="5">
    <w:p w:rsidR="00A94CEE" w:rsidRPr="008B7A98" w:rsidRDefault="00A94CEE" w:rsidP="00AC6997">
      <w:pPr>
        <w:pStyle w:val="a8"/>
        <w:jc w:val="both"/>
      </w:pPr>
      <w:r>
        <w:rPr>
          <w:rStyle w:val="a9"/>
        </w:rPr>
        <w:footnoteRef/>
      </w:r>
      <w:r w:rsidRPr="008B7A98">
        <w:t xml:space="preserve"> </w:t>
      </w:r>
      <w:r>
        <w:t xml:space="preserve">Τα ποσοστά των επιχειρήσεων που στις έρευνες του ΙΜΕ ΓΣΕΒΕΕ δηλώνουν πως άμεσα, μέσα στο επόμενο τρίμηνο, θα διακόψουν τη δραστηριότητά τους συνιστούν τον δείκτη βιωσιμότητας.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EE" w:rsidRDefault="00A94CEE">
    <w:pPr>
      <w:pStyle w:val="a5"/>
    </w:pPr>
    <w:r>
      <w:rPr>
        <w:noProof/>
      </w:rPr>
      <w:drawing>
        <wp:inline distT="0" distB="0" distL="0" distR="0" wp14:anchorId="0969DF11" wp14:editId="3D9F3AC9">
          <wp:extent cx="1579155" cy="594360"/>
          <wp:effectExtent l="0" t="0" r="2540" b="0"/>
          <wp:docPr id="3" name="Εικόνα 10" descr="C:\Users\Thanopoulos\AppData\Local\Microsoft\Windows\INetCache\Content.Outlook\B5LN3GZV\ιμε μπορντώ.jpg"/>
          <wp:cNvGraphicFramePr/>
          <a:graphic xmlns:a="http://schemas.openxmlformats.org/drawingml/2006/main">
            <a:graphicData uri="http://schemas.openxmlformats.org/drawingml/2006/picture">
              <pic:pic xmlns:pic="http://schemas.openxmlformats.org/drawingml/2006/picture">
                <pic:nvPicPr>
                  <pic:cNvPr id="11" name="Εικόνα 10" descr="C:\Users\Thanopoulos\AppData\Local\Microsoft\Windows\INetCache\Content.Outlook\B5LN3GZV\ιμε μπορντώ.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176" cy="596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3833"/>
    <w:multiLevelType w:val="hybridMultilevel"/>
    <w:tmpl w:val="85A6B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447808"/>
    <w:multiLevelType w:val="hybridMultilevel"/>
    <w:tmpl w:val="16F647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14095C"/>
    <w:multiLevelType w:val="hybridMultilevel"/>
    <w:tmpl w:val="6F72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34D10"/>
    <w:multiLevelType w:val="hybridMultilevel"/>
    <w:tmpl w:val="098C86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2834CDB"/>
    <w:multiLevelType w:val="hybridMultilevel"/>
    <w:tmpl w:val="E40AF79E"/>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
    <w:nsid w:val="46CA6873"/>
    <w:multiLevelType w:val="hybridMultilevel"/>
    <w:tmpl w:val="80B08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7F10F5E"/>
    <w:multiLevelType w:val="hybridMultilevel"/>
    <w:tmpl w:val="CDF6E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585B58D1"/>
    <w:multiLevelType w:val="hybridMultilevel"/>
    <w:tmpl w:val="100842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94D29ED"/>
    <w:multiLevelType w:val="hybridMultilevel"/>
    <w:tmpl w:val="7528DA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nsid w:val="612E785D"/>
    <w:multiLevelType w:val="hybridMultilevel"/>
    <w:tmpl w:val="F544E36C"/>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65FD76D5"/>
    <w:multiLevelType w:val="hybridMultilevel"/>
    <w:tmpl w:val="56F2078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492678C"/>
    <w:multiLevelType w:val="hybridMultilevel"/>
    <w:tmpl w:val="644668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79050F12"/>
    <w:multiLevelType w:val="hybridMultilevel"/>
    <w:tmpl w:val="B34CE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5"/>
  </w:num>
  <w:num w:numId="4">
    <w:abstractNumId w:val="9"/>
  </w:num>
  <w:num w:numId="5">
    <w:abstractNumId w:val="3"/>
  </w:num>
  <w:num w:numId="6">
    <w:abstractNumId w:val="0"/>
  </w:num>
  <w:num w:numId="7">
    <w:abstractNumId w:val="12"/>
  </w:num>
  <w:num w:numId="8">
    <w:abstractNumId w:val="2"/>
  </w:num>
  <w:num w:numId="9">
    <w:abstractNumId w:val="10"/>
  </w:num>
  <w:num w:numId="10">
    <w:abstractNumId w:val="7"/>
  </w:num>
  <w:num w:numId="11">
    <w:abstractNumId w:val="8"/>
  </w:num>
  <w:num w:numId="12">
    <w:abstractNumId w:val="4"/>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B49"/>
    <w:rsid w:val="00015383"/>
    <w:rsid w:val="0002081A"/>
    <w:rsid w:val="0002135A"/>
    <w:rsid w:val="000215EF"/>
    <w:rsid w:val="00023631"/>
    <w:rsid w:val="0003191B"/>
    <w:rsid w:val="00037803"/>
    <w:rsid w:val="000400B4"/>
    <w:rsid w:val="000403D3"/>
    <w:rsid w:val="00046494"/>
    <w:rsid w:val="000479BF"/>
    <w:rsid w:val="00062E8B"/>
    <w:rsid w:val="0006383E"/>
    <w:rsid w:val="000667F7"/>
    <w:rsid w:val="00081D45"/>
    <w:rsid w:val="000877BB"/>
    <w:rsid w:val="00090427"/>
    <w:rsid w:val="000908CF"/>
    <w:rsid w:val="00092A0E"/>
    <w:rsid w:val="000B65DB"/>
    <w:rsid w:val="000B6F85"/>
    <w:rsid w:val="000C0D8F"/>
    <w:rsid w:val="000D4E07"/>
    <w:rsid w:val="000D7264"/>
    <w:rsid w:val="000E224C"/>
    <w:rsid w:val="000E2896"/>
    <w:rsid w:val="000E45C7"/>
    <w:rsid w:val="000E62CA"/>
    <w:rsid w:val="000E72AC"/>
    <w:rsid w:val="000F0443"/>
    <w:rsid w:val="000F2966"/>
    <w:rsid w:val="000F2CA5"/>
    <w:rsid w:val="0010421B"/>
    <w:rsid w:val="001121DE"/>
    <w:rsid w:val="0011771B"/>
    <w:rsid w:val="00122982"/>
    <w:rsid w:val="00130335"/>
    <w:rsid w:val="0013445F"/>
    <w:rsid w:val="00140CE7"/>
    <w:rsid w:val="0014152E"/>
    <w:rsid w:val="001453F2"/>
    <w:rsid w:val="001468D1"/>
    <w:rsid w:val="0015182B"/>
    <w:rsid w:val="00155A32"/>
    <w:rsid w:val="00166FA5"/>
    <w:rsid w:val="001717FC"/>
    <w:rsid w:val="001908F9"/>
    <w:rsid w:val="00192FC3"/>
    <w:rsid w:val="00195281"/>
    <w:rsid w:val="00195BF7"/>
    <w:rsid w:val="001968A1"/>
    <w:rsid w:val="001A2EAF"/>
    <w:rsid w:val="001A3099"/>
    <w:rsid w:val="001A4FBC"/>
    <w:rsid w:val="001B2706"/>
    <w:rsid w:val="001C04F9"/>
    <w:rsid w:val="001C2D68"/>
    <w:rsid w:val="001C3C25"/>
    <w:rsid w:val="001C495D"/>
    <w:rsid w:val="001D3D49"/>
    <w:rsid w:val="001D4F89"/>
    <w:rsid w:val="001E0D9A"/>
    <w:rsid w:val="001F6664"/>
    <w:rsid w:val="00200E6D"/>
    <w:rsid w:val="00206EE1"/>
    <w:rsid w:val="00210568"/>
    <w:rsid w:val="00213076"/>
    <w:rsid w:val="002226A1"/>
    <w:rsid w:val="002278CA"/>
    <w:rsid w:val="00241114"/>
    <w:rsid w:val="00252551"/>
    <w:rsid w:val="00252618"/>
    <w:rsid w:val="00285602"/>
    <w:rsid w:val="00287582"/>
    <w:rsid w:val="002A3C1F"/>
    <w:rsid w:val="002A6188"/>
    <w:rsid w:val="002B4692"/>
    <w:rsid w:val="002B7D15"/>
    <w:rsid w:val="002C2612"/>
    <w:rsid w:val="002C4033"/>
    <w:rsid w:val="002C7173"/>
    <w:rsid w:val="002D492B"/>
    <w:rsid w:val="002F1322"/>
    <w:rsid w:val="002F4A1D"/>
    <w:rsid w:val="00305349"/>
    <w:rsid w:val="003072D7"/>
    <w:rsid w:val="0031121B"/>
    <w:rsid w:val="00323841"/>
    <w:rsid w:val="00325572"/>
    <w:rsid w:val="00326C2A"/>
    <w:rsid w:val="00327B49"/>
    <w:rsid w:val="003401D3"/>
    <w:rsid w:val="00340910"/>
    <w:rsid w:val="0034625D"/>
    <w:rsid w:val="00352171"/>
    <w:rsid w:val="00361349"/>
    <w:rsid w:val="003653AC"/>
    <w:rsid w:val="003659C2"/>
    <w:rsid w:val="00367746"/>
    <w:rsid w:val="0037309D"/>
    <w:rsid w:val="0037363C"/>
    <w:rsid w:val="003812C9"/>
    <w:rsid w:val="00381D75"/>
    <w:rsid w:val="00385C77"/>
    <w:rsid w:val="0039279C"/>
    <w:rsid w:val="003A217F"/>
    <w:rsid w:val="003A5178"/>
    <w:rsid w:val="003B2BE0"/>
    <w:rsid w:val="003B427B"/>
    <w:rsid w:val="003B4DD8"/>
    <w:rsid w:val="003C3D8E"/>
    <w:rsid w:val="003D4017"/>
    <w:rsid w:val="003D5ACF"/>
    <w:rsid w:val="003F5FFF"/>
    <w:rsid w:val="003F7C4E"/>
    <w:rsid w:val="0040656C"/>
    <w:rsid w:val="00411603"/>
    <w:rsid w:val="00412676"/>
    <w:rsid w:val="00426812"/>
    <w:rsid w:val="00435434"/>
    <w:rsid w:val="00437B11"/>
    <w:rsid w:val="004402D9"/>
    <w:rsid w:val="0044137A"/>
    <w:rsid w:val="0045324D"/>
    <w:rsid w:val="004572FD"/>
    <w:rsid w:val="0047006E"/>
    <w:rsid w:val="004715A0"/>
    <w:rsid w:val="0048143F"/>
    <w:rsid w:val="004817B6"/>
    <w:rsid w:val="00486214"/>
    <w:rsid w:val="00486726"/>
    <w:rsid w:val="00486BA5"/>
    <w:rsid w:val="004936D1"/>
    <w:rsid w:val="004B0815"/>
    <w:rsid w:val="004B4757"/>
    <w:rsid w:val="004B7758"/>
    <w:rsid w:val="004C1003"/>
    <w:rsid w:val="004C314C"/>
    <w:rsid w:val="004C6D21"/>
    <w:rsid w:val="004D4651"/>
    <w:rsid w:val="004D7285"/>
    <w:rsid w:val="004E11B6"/>
    <w:rsid w:val="004E366C"/>
    <w:rsid w:val="005019FE"/>
    <w:rsid w:val="00516689"/>
    <w:rsid w:val="00526D7A"/>
    <w:rsid w:val="00540E4B"/>
    <w:rsid w:val="00547A9B"/>
    <w:rsid w:val="0055217A"/>
    <w:rsid w:val="005547E8"/>
    <w:rsid w:val="005601DF"/>
    <w:rsid w:val="00562C62"/>
    <w:rsid w:val="00585E65"/>
    <w:rsid w:val="00590590"/>
    <w:rsid w:val="0059068E"/>
    <w:rsid w:val="00592826"/>
    <w:rsid w:val="0059632C"/>
    <w:rsid w:val="005967DE"/>
    <w:rsid w:val="005A04C7"/>
    <w:rsid w:val="005A25E4"/>
    <w:rsid w:val="005A2E25"/>
    <w:rsid w:val="005A61C6"/>
    <w:rsid w:val="005B46CD"/>
    <w:rsid w:val="005C51DE"/>
    <w:rsid w:val="005D40E0"/>
    <w:rsid w:val="005E5556"/>
    <w:rsid w:val="005E5FA9"/>
    <w:rsid w:val="00612B92"/>
    <w:rsid w:val="0062007B"/>
    <w:rsid w:val="00635E94"/>
    <w:rsid w:val="00636F36"/>
    <w:rsid w:val="00642CF7"/>
    <w:rsid w:val="006455A6"/>
    <w:rsid w:val="00645FBA"/>
    <w:rsid w:val="006636D0"/>
    <w:rsid w:val="00676D0F"/>
    <w:rsid w:val="006837EA"/>
    <w:rsid w:val="00685E13"/>
    <w:rsid w:val="00695DA7"/>
    <w:rsid w:val="00695ECB"/>
    <w:rsid w:val="00697136"/>
    <w:rsid w:val="006B4F4F"/>
    <w:rsid w:val="006C0631"/>
    <w:rsid w:val="006C5D62"/>
    <w:rsid w:val="006D1D4C"/>
    <w:rsid w:val="006D4815"/>
    <w:rsid w:val="006F0645"/>
    <w:rsid w:val="006F0B11"/>
    <w:rsid w:val="006F6758"/>
    <w:rsid w:val="00700BFC"/>
    <w:rsid w:val="00704A66"/>
    <w:rsid w:val="0071259F"/>
    <w:rsid w:val="0071365A"/>
    <w:rsid w:val="00713786"/>
    <w:rsid w:val="007149DC"/>
    <w:rsid w:val="007202BB"/>
    <w:rsid w:val="00723DC9"/>
    <w:rsid w:val="00726D4B"/>
    <w:rsid w:val="00726FDE"/>
    <w:rsid w:val="00737D23"/>
    <w:rsid w:val="00744551"/>
    <w:rsid w:val="007477B1"/>
    <w:rsid w:val="00754214"/>
    <w:rsid w:val="00754D44"/>
    <w:rsid w:val="00761F11"/>
    <w:rsid w:val="007646B2"/>
    <w:rsid w:val="00766427"/>
    <w:rsid w:val="00766B6A"/>
    <w:rsid w:val="00770CD4"/>
    <w:rsid w:val="007878C4"/>
    <w:rsid w:val="0079357C"/>
    <w:rsid w:val="007A04DD"/>
    <w:rsid w:val="007A3A82"/>
    <w:rsid w:val="007C1544"/>
    <w:rsid w:val="007C4684"/>
    <w:rsid w:val="007D20B0"/>
    <w:rsid w:val="007E0289"/>
    <w:rsid w:val="007E7529"/>
    <w:rsid w:val="007F010B"/>
    <w:rsid w:val="007F69BF"/>
    <w:rsid w:val="007F7E16"/>
    <w:rsid w:val="008005AA"/>
    <w:rsid w:val="008051B5"/>
    <w:rsid w:val="00805FF0"/>
    <w:rsid w:val="00811443"/>
    <w:rsid w:val="0081774B"/>
    <w:rsid w:val="00817AE2"/>
    <w:rsid w:val="00831709"/>
    <w:rsid w:val="00842180"/>
    <w:rsid w:val="0085178F"/>
    <w:rsid w:val="00851CD3"/>
    <w:rsid w:val="00853788"/>
    <w:rsid w:val="00856DB5"/>
    <w:rsid w:val="00865732"/>
    <w:rsid w:val="008662EF"/>
    <w:rsid w:val="00867BE6"/>
    <w:rsid w:val="00871E29"/>
    <w:rsid w:val="0087257C"/>
    <w:rsid w:val="00875508"/>
    <w:rsid w:val="00875D88"/>
    <w:rsid w:val="00876BF6"/>
    <w:rsid w:val="00876FD5"/>
    <w:rsid w:val="0088082F"/>
    <w:rsid w:val="008814A1"/>
    <w:rsid w:val="00881DC2"/>
    <w:rsid w:val="0088356B"/>
    <w:rsid w:val="008914DB"/>
    <w:rsid w:val="00896345"/>
    <w:rsid w:val="008A09B1"/>
    <w:rsid w:val="008A4542"/>
    <w:rsid w:val="008A51CD"/>
    <w:rsid w:val="008A5AB3"/>
    <w:rsid w:val="008A68E7"/>
    <w:rsid w:val="008B1AF6"/>
    <w:rsid w:val="008B1B2F"/>
    <w:rsid w:val="008C0E4B"/>
    <w:rsid w:val="008C3284"/>
    <w:rsid w:val="008C5422"/>
    <w:rsid w:val="008D012C"/>
    <w:rsid w:val="008D061C"/>
    <w:rsid w:val="008D0FA8"/>
    <w:rsid w:val="008D1C0E"/>
    <w:rsid w:val="008D636D"/>
    <w:rsid w:val="008E194B"/>
    <w:rsid w:val="008F40FD"/>
    <w:rsid w:val="0090004B"/>
    <w:rsid w:val="0090154E"/>
    <w:rsid w:val="00902371"/>
    <w:rsid w:val="00904A3E"/>
    <w:rsid w:val="00906086"/>
    <w:rsid w:val="009073A1"/>
    <w:rsid w:val="00907FE3"/>
    <w:rsid w:val="00923125"/>
    <w:rsid w:val="00925651"/>
    <w:rsid w:val="009309A6"/>
    <w:rsid w:val="00932D36"/>
    <w:rsid w:val="00943C04"/>
    <w:rsid w:val="00944E1E"/>
    <w:rsid w:val="009458CF"/>
    <w:rsid w:val="009477FF"/>
    <w:rsid w:val="009557BD"/>
    <w:rsid w:val="00960C78"/>
    <w:rsid w:val="0097594D"/>
    <w:rsid w:val="009772E8"/>
    <w:rsid w:val="00977BA4"/>
    <w:rsid w:val="009945F6"/>
    <w:rsid w:val="00994835"/>
    <w:rsid w:val="0099643D"/>
    <w:rsid w:val="009966BE"/>
    <w:rsid w:val="009A71CE"/>
    <w:rsid w:val="009C6602"/>
    <w:rsid w:val="009D755B"/>
    <w:rsid w:val="009E2FAC"/>
    <w:rsid w:val="009F3A57"/>
    <w:rsid w:val="009F4FBF"/>
    <w:rsid w:val="00A00FA8"/>
    <w:rsid w:val="00A02674"/>
    <w:rsid w:val="00A032AB"/>
    <w:rsid w:val="00A04959"/>
    <w:rsid w:val="00A11F1C"/>
    <w:rsid w:val="00A13E4D"/>
    <w:rsid w:val="00A15C2E"/>
    <w:rsid w:val="00A17F23"/>
    <w:rsid w:val="00A2282D"/>
    <w:rsid w:val="00A32C1B"/>
    <w:rsid w:val="00A33D0A"/>
    <w:rsid w:val="00A37704"/>
    <w:rsid w:val="00A40C9F"/>
    <w:rsid w:val="00A41A74"/>
    <w:rsid w:val="00A51201"/>
    <w:rsid w:val="00A51FF8"/>
    <w:rsid w:val="00A63477"/>
    <w:rsid w:val="00A657CA"/>
    <w:rsid w:val="00A71409"/>
    <w:rsid w:val="00A774AE"/>
    <w:rsid w:val="00A86E38"/>
    <w:rsid w:val="00A9158D"/>
    <w:rsid w:val="00A94CEE"/>
    <w:rsid w:val="00A9550B"/>
    <w:rsid w:val="00AA00E7"/>
    <w:rsid w:val="00AB0635"/>
    <w:rsid w:val="00AB1F52"/>
    <w:rsid w:val="00AB788B"/>
    <w:rsid w:val="00AC6997"/>
    <w:rsid w:val="00AC71A1"/>
    <w:rsid w:val="00AD226C"/>
    <w:rsid w:val="00AD455B"/>
    <w:rsid w:val="00AE1422"/>
    <w:rsid w:val="00AE45D5"/>
    <w:rsid w:val="00B01B69"/>
    <w:rsid w:val="00B027FC"/>
    <w:rsid w:val="00B0306B"/>
    <w:rsid w:val="00B03942"/>
    <w:rsid w:val="00B21D26"/>
    <w:rsid w:val="00B256CE"/>
    <w:rsid w:val="00B353AA"/>
    <w:rsid w:val="00B36044"/>
    <w:rsid w:val="00B36B25"/>
    <w:rsid w:val="00B5200E"/>
    <w:rsid w:val="00B6363E"/>
    <w:rsid w:val="00B828BE"/>
    <w:rsid w:val="00B83ABF"/>
    <w:rsid w:val="00B913BA"/>
    <w:rsid w:val="00B921A1"/>
    <w:rsid w:val="00B944E7"/>
    <w:rsid w:val="00B97FCE"/>
    <w:rsid w:val="00BA1B06"/>
    <w:rsid w:val="00BA427E"/>
    <w:rsid w:val="00BA474E"/>
    <w:rsid w:val="00BA5236"/>
    <w:rsid w:val="00BA532C"/>
    <w:rsid w:val="00BD76EA"/>
    <w:rsid w:val="00C00E59"/>
    <w:rsid w:val="00C06C7E"/>
    <w:rsid w:val="00C12829"/>
    <w:rsid w:val="00C13D2B"/>
    <w:rsid w:val="00C20D5F"/>
    <w:rsid w:val="00C277CE"/>
    <w:rsid w:val="00C4272B"/>
    <w:rsid w:val="00C439C2"/>
    <w:rsid w:val="00C43A30"/>
    <w:rsid w:val="00C4742B"/>
    <w:rsid w:val="00C504EB"/>
    <w:rsid w:val="00C57386"/>
    <w:rsid w:val="00C60420"/>
    <w:rsid w:val="00C62DE0"/>
    <w:rsid w:val="00C66C16"/>
    <w:rsid w:val="00C7123E"/>
    <w:rsid w:val="00C721D3"/>
    <w:rsid w:val="00C80694"/>
    <w:rsid w:val="00CA6360"/>
    <w:rsid w:val="00CA6C9C"/>
    <w:rsid w:val="00CB07C4"/>
    <w:rsid w:val="00CB2E75"/>
    <w:rsid w:val="00CB5988"/>
    <w:rsid w:val="00CB5BC8"/>
    <w:rsid w:val="00CC2984"/>
    <w:rsid w:val="00CC3C19"/>
    <w:rsid w:val="00CC423E"/>
    <w:rsid w:val="00CC5745"/>
    <w:rsid w:val="00CC6C94"/>
    <w:rsid w:val="00CC6E2A"/>
    <w:rsid w:val="00CD0553"/>
    <w:rsid w:val="00CD7BA5"/>
    <w:rsid w:val="00CD7D4C"/>
    <w:rsid w:val="00CE1FF6"/>
    <w:rsid w:val="00CF4A34"/>
    <w:rsid w:val="00D038DF"/>
    <w:rsid w:val="00D03D87"/>
    <w:rsid w:val="00D10A91"/>
    <w:rsid w:val="00D14DA6"/>
    <w:rsid w:val="00D253CB"/>
    <w:rsid w:val="00D268F0"/>
    <w:rsid w:val="00D302EE"/>
    <w:rsid w:val="00D3458B"/>
    <w:rsid w:val="00D407C4"/>
    <w:rsid w:val="00D43369"/>
    <w:rsid w:val="00D45ECA"/>
    <w:rsid w:val="00D527B5"/>
    <w:rsid w:val="00D57BAD"/>
    <w:rsid w:val="00D60539"/>
    <w:rsid w:val="00D61829"/>
    <w:rsid w:val="00D66666"/>
    <w:rsid w:val="00D7535C"/>
    <w:rsid w:val="00D86574"/>
    <w:rsid w:val="00D9446C"/>
    <w:rsid w:val="00D96505"/>
    <w:rsid w:val="00DA4D29"/>
    <w:rsid w:val="00DA5DBE"/>
    <w:rsid w:val="00DA7939"/>
    <w:rsid w:val="00DB3B4D"/>
    <w:rsid w:val="00DB68B2"/>
    <w:rsid w:val="00DC4B60"/>
    <w:rsid w:val="00DE5E91"/>
    <w:rsid w:val="00DF0EF2"/>
    <w:rsid w:val="00DF13F9"/>
    <w:rsid w:val="00DF6E66"/>
    <w:rsid w:val="00E12936"/>
    <w:rsid w:val="00E140D7"/>
    <w:rsid w:val="00E362A9"/>
    <w:rsid w:val="00E439AC"/>
    <w:rsid w:val="00E43E2B"/>
    <w:rsid w:val="00E44D37"/>
    <w:rsid w:val="00E5779E"/>
    <w:rsid w:val="00E66294"/>
    <w:rsid w:val="00E66AA5"/>
    <w:rsid w:val="00E67804"/>
    <w:rsid w:val="00E70A64"/>
    <w:rsid w:val="00E732C2"/>
    <w:rsid w:val="00E73898"/>
    <w:rsid w:val="00E75E82"/>
    <w:rsid w:val="00E8021A"/>
    <w:rsid w:val="00E81D0B"/>
    <w:rsid w:val="00E83341"/>
    <w:rsid w:val="00E84F0F"/>
    <w:rsid w:val="00E90BC5"/>
    <w:rsid w:val="00E92DE3"/>
    <w:rsid w:val="00EA4534"/>
    <w:rsid w:val="00EA7714"/>
    <w:rsid w:val="00EB4F28"/>
    <w:rsid w:val="00EB7FA1"/>
    <w:rsid w:val="00EC407A"/>
    <w:rsid w:val="00EC44B2"/>
    <w:rsid w:val="00EC4DDF"/>
    <w:rsid w:val="00EC5B63"/>
    <w:rsid w:val="00ED61E5"/>
    <w:rsid w:val="00EE1712"/>
    <w:rsid w:val="00EE3410"/>
    <w:rsid w:val="00EE3E7E"/>
    <w:rsid w:val="00EF3203"/>
    <w:rsid w:val="00EF3D26"/>
    <w:rsid w:val="00EF4AA8"/>
    <w:rsid w:val="00EF4C5A"/>
    <w:rsid w:val="00F0626B"/>
    <w:rsid w:val="00F114DE"/>
    <w:rsid w:val="00F14AEE"/>
    <w:rsid w:val="00F22533"/>
    <w:rsid w:val="00F22BD4"/>
    <w:rsid w:val="00F23403"/>
    <w:rsid w:val="00F26830"/>
    <w:rsid w:val="00F33DBB"/>
    <w:rsid w:val="00F35452"/>
    <w:rsid w:val="00F438CB"/>
    <w:rsid w:val="00F46BFF"/>
    <w:rsid w:val="00F51CC4"/>
    <w:rsid w:val="00F5267C"/>
    <w:rsid w:val="00F54A87"/>
    <w:rsid w:val="00F61B88"/>
    <w:rsid w:val="00F72663"/>
    <w:rsid w:val="00F83283"/>
    <w:rsid w:val="00F90DF0"/>
    <w:rsid w:val="00F93A5E"/>
    <w:rsid w:val="00F957C1"/>
    <w:rsid w:val="00FA002C"/>
    <w:rsid w:val="00FA0C3F"/>
    <w:rsid w:val="00FA5253"/>
    <w:rsid w:val="00FB1157"/>
    <w:rsid w:val="00FB2D90"/>
    <w:rsid w:val="00FC5238"/>
    <w:rsid w:val="00FC5F97"/>
    <w:rsid w:val="00FC63E8"/>
    <w:rsid w:val="00FD3FE2"/>
    <w:rsid w:val="00FE1456"/>
    <w:rsid w:val="00FF1498"/>
    <w:rsid w:val="00FF7C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7B49"/>
    <w:pPr>
      <w:ind w:left="720"/>
      <w:contextualSpacing/>
    </w:pPr>
  </w:style>
  <w:style w:type="paragraph" w:styleId="a4">
    <w:name w:val="Balloon Text"/>
    <w:basedOn w:val="a"/>
    <w:link w:val="Char"/>
    <w:uiPriority w:val="99"/>
    <w:semiHidden/>
    <w:unhideWhenUsed/>
    <w:rsid w:val="0092312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3125"/>
    <w:rPr>
      <w:rFonts w:ascii="Tahoma" w:hAnsi="Tahoma" w:cs="Tahoma"/>
      <w:sz w:val="16"/>
      <w:szCs w:val="16"/>
    </w:rPr>
  </w:style>
  <w:style w:type="paragraph" w:styleId="a5">
    <w:name w:val="header"/>
    <w:basedOn w:val="a"/>
    <w:link w:val="Char0"/>
    <w:uiPriority w:val="99"/>
    <w:unhideWhenUsed/>
    <w:rsid w:val="00F23403"/>
    <w:pPr>
      <w:tabs>
        <w:tab w:val="center" w:pos="4153"/>
        <w:tab w:val="right" w:pos="8306"/>
      </w:tabs>
      <w:spacing w:after="0" w:line="240" w:lineRule="auto"/>
    </w:pPr>
  </w:style>
  <w:style w:type="character" w:customStyle="1" w:styleId="Char0">
    <w:name w:val="Κεφαλίδα Char"/>
    <w:basedOn w:val="a0"/>
    <w:link w:val="a5"/>
    <w:uiPriority w:val="99"/>
    <w:rsid w:val="00F23403"/>
  </w:style>
  <w:style w:type="paragraph" w:styleId="a6">
    <w:name w:val="footer"/>
    <w:basedOn w:val="a"/>
    <w:link w:val="Char1"/>
    <w:uiPriority w:val="99"/>
    <w:unhideWhenUsed/>
    <w:rsid w:val="00F23403"/>
    <w:pPr>
      <w:tabs>
        <w:tab w:val="center" w:pos="4153"/>
        <w:tab w:val="right" w:pos="8306"/>
      </w:tabs>
      <w:spacing w:after="0" w:line="240" w:lineRule="auto"/>
    </w:pPr>
  </w:style>
  <w:style w:type="character" w:customStyle="1" w:styleId="Char1">
    <w:name w:val="Υποσέλιδο Char"/>
    <w:basedOn w:val="a0"/>
    <w:link w:val="a6"/>
    <w:uiPriority w:val="99"/>
    <w:rsid w:val="00F23403"/>
  </w:style>
  <w:style w:type="character" w:customStyle="1" w:styleId="1Char">
    <w:name w:val="Επικεφαλίδα 1 Char"/>
    <w:basedOn w:val="a0"/>
    <w:link w:val="1"/>
    <w:uiPriority w:val="9"/>
    <w:rsid w:val="000B6F8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B6F85"/>
    <w:pPr>
      <w:outlineLvl w:val="9"/>
    </w:pPr>
  </w:style>
  <w:style w:type="paragraph" w:styleId="10">
    <w:name w:val="toc 1"/>
    <w:basedOn w:val="a"/>
    <w:next w:val="a"/>
    <w:autoRedefine/>
    <w:uiPriority w:val="39"/>
    <w:unhideWhenUsed/>
    <w:rsid w:val="000B6F85"/>
    <w:pPr>
      <w:spacing w:after="100"/>
    </w:pPr>
  </w:style>
  <w:style w:type="character" w:styleId="-">
    <w:name w:val="Hyperlink"/>
    <w:basedOn w:val="a0"/>
    <w:uiPriority w:val="99"/>
    <w:unhideWhenUsed/>
    <w:rsid w:val="000B6F85"/>
    <w:rPr>
      <w:color w:val="0000FF" w:themeColor="hyperlink"/>
      <w:u w:val="single"/>
    </w:rPr>
  </w:style>
  <w:style w:type="paragraph" w:styleId="a8">
    <w:name w:val="footnote text"/>
    <w:basedOn w:val="a"/>
    <w:link w:val="Char2"/>
    <w:uiPriority w:val="99"/>
    <w:semiHidden/>
    <w:unhideWhenUsed/>
    <w:rsid w:val="00D60539"/>
    <w:pPr>
      <w:spacing w:after="0" w:line="240" w:lineRule="auto"/>
    </w:pPr>
    <w:rPr>
      <w:sz w:val="20"/>
      <w:szCs w:val="20"/>
    </w:rPr>
  </w:style>
  <w:style w:type="character" w:customStyle="1" w:styleId="Char2">
    <w:name w:val="Κείμενο υποσημείωσης Char"/>
    <w:basedOn w:val="a0"/>
    <w:link w:val="a8"/>
    <w:uiPriority w:val="99"/>
    <w:semiHidden/>
    <w:rsid w:val="00D60539"/>
    <w:rPr>
      <w:sz w:val="20"/>
      <w:szCs w:val="20"/>
    </w:rPr>
  </w:style>
  <w:style w:type="character" w:styleId="a9">
    <w:name w:val="footnote reference"/>
    <w:basedOn w:val="a0"/>
    <w:uiPriority w:val="99"/>
    <w:semiHidden/>
    <w:unhideWhenUsed/>
    <w:rsid w:val="00D60539"/>
    <w:rPr>
      <w:vertAlign w:val="superscript"/>
    </w:rPr>
  </w:style>
  <w:style w:type="table" w:styleId="aa">
    <w:name w:val="Table Grid"/>
    <w:basedOn w:val="a1"/>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072D7"/>
    <w:rPr>
      <w:sz w:val="16"/>
      <w:szCs w:val="16"/>
    </w:rPr>
  </w:style>
  <w:style w:type="paragraph" w:styleId="ac">
    <w:name w:val="annotation text"/>
    <w:basedOn w:val="a"/>
    <w:link w:val="Char3"/>
    <w:uiPriority w:val="99"/>
    <w:semiHidden/>
    <w:unhideWhenUsed/>
    <w:rsid w:val="003072D7"/>
    <w:pPr>
      <w:spacing w:line="240" w:lineRule="auto"/>
    </w:pPr>
    <w:rPr>
      <w:sz w:val="20"/>
      <w:szCs w:val="20"/>
    </w:rPr>
  </w:style>
  <w:style w:type="character" w:customStyle="1" w:styleId="Char3">
    <w:name w:val="Κείμενο σχολίου Char"/>
    <w:basedOn w:val="a0"/>
    <w:link w:val="ac"/>
    <w:uiPriority w:val="99"/>
    <w:semiHidden/>
    <w:rsid w:val="003072D7"/>
    <w:rPr>
      <w:sz w:val="20"/>
      <w:szCs w:val="20"/>
    </w:rPr>
  </w:style>
  <w:style w:type="paragraph" w:styleId="ad">
    <w:name w:val="annotation subject"/>
    <w:basedOn w:val="ac"/>
    <w:next w:val="ac"/>
    <w:link w:val="Char4"/>
    <w:uiPriority w:val="99"/>
    <w:semiHidden/>
    <w:unhideWhenUsed/>
    <w:rsid w:val="003072D7"/>
    <w:rPr>
      <w:b/>
      <w:bCs/>
    </w:rPr>
  </w:style>
  <w:style w:type="character" w:customStyle="1" w:styleId="Char4">
    <w:name w:val="Θέμα σχολίου Char"/>
    <w:basedOn w:val="Char3"/>
    <w:link w:val="ad"/>
    <w:uiPriority w:val="99"/>
    <w:semiHidden/>
    <w:rsid w:val="003072D7"/>
    <w:rPr>
      <w:b/>
      <w:bCs/>
      <w:sz w:val="20"/>
      <w:szCs w:val="20"/>
    </w:rPr>
  </w:style>
  <w:style w:type="paragraph" w:styleId="Web">
    <w:name w:val="Normal (Web)"/>
    <w:basedOn w:val="a"/>
    <w:uiPriority w:val="99"/>
    <w:semiHidden/>
    <w:unhideWhenUsed/>
    <w:rsid w:val="001A4FBC"/>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7B49"/>
    <w:pPr>
      <w:ind w:left="720"/>
      <w:contextualSpacing/>
    </w:pPr>
  </w:style>
  <w:style w:type="paragraph" w:styleId="a4">
    <w:name w:val="Balloon Text"/>
    <w:basedOn w:val="a"/>
    <w:link w:val="Char"/>
    <w:uiPriority w:val="99"/>
    <w:semiHidden/>
    <w:unhideWhenUsed/>
    <w:rsid w:val="0092312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3125"/>
    <w:rPr>
      <w:rFonts w:ascii="Tahoma" w:hAnsi="Tahoma" w:cs="Tahoma"/>
      <w:sz w:val="16"/>
      <w:szCs w:val="16"/>
    </w:rPr>
  </w:style>
  <w:style w:type="paragraph" w:styleId="a5">
    <w:name w:val="header"/>
    <w:basedOn w:val="a"/>
    <w:link w:val="Char0"/>
    <w:uiPriority w:val="99"/>
    <w:unhideWhenUsed/>
    <w:rsid w:val="00F23403"/>
    <w:pPr>
      <w:tabs>
        <w:tab w:val="center" w:pos="4153"/>
        <w:tab w:val="right" w:pos="8306"/>
      </w:tabs>
      <w:spacing w:after="0" w:line="240" w:lineRule="auto"/>
    </w:pPr>
  </w:style>
  <w:style w:type="character" w:customStyle="1" w:styleId="Char0">
    <w:name w:val="Κεφαλίδα Char"/>
    <w:basedOn w:val="a0"/>
    <w:link w:val="a5"/>
    <w:uiPriority w:val="99"/>
    <w:rsid w:val="00F23403"/>
  </w:style>
  <w:style w:type="paragraph" w:styleId="a6">
    <w:name w:val="footer"/>
    <w:basedOn w:val="a"/>
    <w:link w:val="Char1"/>
    <w:uiPriority w:val="99"/>
    <w:unhideWhenUsed/>
    <w:rsid w:val="00F23403"/>
    <w:pPr>
      <w:tabs>
        <w:tab w:val="center" w:pos="4153"/>
        <w:tab w:val="right" w:pos="8306"/>
      </w:tabs>
      <w:spacing w:after="0" w:line="240" w:lineRule="auto"/>
    </w:pPr>
  </w:style>
  <w:style w:type="character" w:customStyle="1" w:styleId="Char1">
    <w:name w:val="Υποσέλιδο Char"/>
    <w:basedOn w:val="a0"/>
    <w:link w:val="a6"/>
    <w:uiPriority w:val="99"/>
    <w:rsid w:val="00F23403"/>
  </w:style>
  <w:style w:type="character" w:customStyle="1" w:styleId="1Char">
    <w:name w:val="Επικεφαλίδα 1 Char"/>
    <w:basedOn w:val="a0"/>
    <w:link w:val="1"/>
    <w:uiPriority w:val="9"/>
    <w:rsid w:val="000B6F8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B6F85"/>
    <w:pPr>
      <w:outlineLvl w:val="9"/>
    </w:pPr>
  </w:style>
  <w:style w:type="paragraph" w:styleId="10">
    <w:name w:val="toc 1"/>
    <w:basedOn w:val="a"/>
    <w:next w:val="a"/>
    <w:autoRedefine/>
    <w:uiPriority w:val="39"/>
    <w:unhideWhenUsed/>
    <w:rsid w:val="000B6F85"/>
    <w:pPr>
      <w:spacing w:after="100"/>
    </w:pPr>
  </w:style>
  <w:style w:type="character" w:styleId="-">
    <w:name w:val="Hyperlink"/>
    <w:basedOn w:val="a0"/>
    <w:uiPriority w:val="99"/>
    <w:unhideWhenUsed/>
    <w:rsid w:val="000B6F85"/>
    <w:rPr>
      <w:color w:val="0000FF" w:themeColor="hyperlink"/>
      <w:u w:val="single"/>
    </w:rPr>
  </w:style>
  <w:style w:type="paragraph" w:styleId="a8">
    <w:name w:val="footnote text"/>
    <w:basedOn w:val="a"/>
    <w:link w:val="Char2"/>
    <w:uiPriority w:val="99"/>
    <w:semiHidden/>
    <w:unhideWhenUsed/>
    <w:rsid w:val="00D60539"/>
    <w:pPr>
      <w:spacing w:after="0" w:line="240" w:lineRule="auto"/>
    </w:pPr>
    <w:rPr>
      <w:sz w:val="20"/>
      <w:szCs w:val="20"/>
    </w:rPr>
  </w:style>
  <w:style w:type="character" w:customStyle="1" w:styleId="Char2">
    <w:name w:val="Κείμενο υποσημείωσης Char"/>
    <w:basedOn w:val="a0"/>
    <w:link w:val="a8"/>
    <w:uiPriority w:val="99"/>
    <w:semiHidden/>
    <w:rsid w:val="00D60539"/>
    <w:rPr>
      <w:sz w:val="20"/>
      <w:szCs w:val="20"/>
    </w:rPr>
  </w:style>
  <w:style w:type="character" w:styleId="a9">
    <w:name w:val="footnote reference"/>
    <w:basedOn w:val="a0"/>
    <w:uiPriority w:val="99"/>
    <w:semiHidden/>
    <w:unhideWhenUsed/>
    <w:rsid w:val="00D60539"/>
    <w:rPr>
      <w:vertAlign w:val="superscript"/>
    </w:rPr>
  </w:style>
  <w:style w:type="table" w:styleId="aa">
    <w:name w:val="Table Grid"/>
    <w:basedOn w:val="a1"/>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072D7"/>
    <w:rPr>
      <w:sz w:val="16"/>
      <w:szCs w:val="16"/>
    </w:rPr>
  </w:style>
  <w:style w:type="paragraph" w:styleId="ac">
    <w:name w:val="annotation text"/>
    <w:basedOn w:val="a"/>
    <w:link w:val="Char3"/>
    <w:uiPriority w:val="99"/>
    <w:semiHidden/>
    <w:unhideWhenUsed/>
    <w:rsid w:val="003072D7"/>
    <w:pPr>
      <w:spacing w:line="240" w:lineRule="auto"/>
    </w:pPr>
    <w:rPr>
      <w:sz w:val="20"/>
      <w:szCs w:val="20"/>
    </w:rPr>
  </w:style>
  <w:style w:type="character" w:customStyle="1" w:styleId="Char3">
    <w:name w:val="Κείμενο σχολίου Char"/>
    <w:basedOn w:val="a0"/>
    <w:link w:val="ac"/>
    <w:uiPriority w:val="99"/>
    <w:semiHidden/>
    <w:rsid w:val="003072D7"/>
    <w:rPr>
      <w:sz w:val="20"/>
      <w:szCs w:val="20"/>
    </w:rPr>
  </w:style>
  <w:style w:type="paragraph" w:styleId="ad">
    <w:name w:val="annotation subject"/>
    <w:basedOn w:val="ac"/>
    <w:next w:val="ac"/>
    <w:link w:val="Char4"/>
    <w:uiPriority w:val="99"/>
    <w:semiHidden/>
    <w:unhideWhenUsed/>
    <w:rsid w:val="003072D7"/>
    <w:rPr>
      <w:b/>
      <w:bCs/>
    </w:rPr>
  </w:style>
  <w:style w:type="character" w:customStyle="1" w:styleId="Char4">
    <w:name w:val="Θέμα σχολίου Char"/>
    <w:basedOn w:val="Char3"/>
    <w:link w:val="ad"/>
    <w:uiPriority w:val="99"/>
    <w:semiHidden/>
    <w:rsid w:val="003072D7"/>
    <w:rPr>
      <w:b/>
      <w:bCs/>
      <w:sz w:val="20"/>
      <w:szCs w:val="20"/>
    </w:rPr>
  </w:style>
  <w:style w:type="paragraph" w:styleId="Web">
    <w:name w:val="Normal (Web)"/>
    <w:basedOn w:val="a"/>
    <w:uiPriority w:val="99"/>
    <w:semiHidden/>
    <w:unhideWhenUsed/>
    <w:rsid w:val="001A4FB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277029425">
      <w:bodyDiv w:val="1"/>
      <w:marLeft w:val="0"/>
      <w:marRight w:val="0"/>
      <w:marTop w:val="0"/>
      <w:marBottom w:val="0"/>
      <w:divBdr>
        <w:top w:val="none" w:sz="0" w:space="0" w:color="auto"/>
        <w:left w:val="none" w:sz="0" w:space="0" w:color="auto"/>
        <w:bottom w:val="none" w:sz="0" w:space="0" w:color="auto"/>
        <w:right w:val="none" w:sz="0" w:space="0" w:color="auto"/>
      </w:divBdr>
    </w:div>
    <w:div w:id="280235785">
      <w:bodyDiv w:val="1"/>
      <w:marLeft w:val="0"/>
      <w:marRight w:val="0"/>
      <w:marTop w:val="0"/>
      <w:marBottom w:val="0"/>
      <w:divBdr>
        <w:top w:val="none" w:sz="0" w:space="0" w:color="auto"/>
        <w:left w:val="none" w:sz="0" w:space="0" w:color="auto"/>
        <w:bottom w:val="none" w:sz="0" w:space="0" w:color="auto"/>
        <w:right w:val="none" w:sz="0" w:space="0" w:color="auto"/>
      </w:divBdr>
    </w:div>
    <w:div w:id="300424902">
      <w:bodyDiv w:val="1"/>
      <w:marLeft w:val="0"/>
      <w:marRight w:val="0"/>
      <w:marTop w:val="0"/>
      <w:marBottom w:val="0"/>
      <w:divBdr>
        <w:top w:val="none" w:sz="0" w:space="0" w:color="auto"/>
        <w:left w:val="none" w:sz="0" w:space="0" w:color="auto"/>
        <w:bottom w:val="none" w:sz="0" w:space="0" w:color="auto"/>
        <w:right w:val="none" w:sz="0" w:space="0" w:color="auto"/>
      </w:divBdr>
    </w:div>
    <w:div w:id="309092558">
      <w:bodyDiv w:val="1"/>
      <w:marLeft w:val="0"/>
      <w:marRight w:val="0"/>
      <w:marTop w:val="0"/>
      <w:marBottom w:val="0"/>
      <w:divBdr>
        <w:top w:val="none" w:sz="0" w:space="0" w:color="auto"/>
        <w:left w:val="none" w:sz="0" w:space="0" w:color="auto"/>
        <w:bottom w:val="none" w:sz="0" w:space="0" w:color="auto"/>
        <w:right w:val="none" w:sz="0" w:space="0" w:color="auto"/>
      </w:divBdr>
    </w:div>
    <w:div w:id="314795534">
      <w:bodyDiv w:val="1"/>
      <w:marLeft w:val="0"/>
      <w:marRight w:val="0"/>
      <w:marTop w:val="0"/>
      <w:marBottom w:val="0"/>
      <w:divBdr>
        <w:top w:val="none" w:sz="0" w:space="0" w:color="auto"/>
        <w:left w:val="none" w:sz="0" w:space="0" w:color="auto"/>
        <w:bottom w:val="none" w:sz="0" w:space="0" w:color="auto"/>
        <w:right w:val="none" w:sz="0" w:space="0" w:color="auto"/>
      </w:divBdr>
    </w:div>
    <w:div w:id="383139398">
      <w:bodyDiv w:val="1"/>
      <w:marLeft w:val="0"/>
      <w:marRight w:val="0"/>
      <w:marTop w:val="0"/>
      <w:marBottom w:val="0"/>
      <w:divBdr>
        <w:top w:val="none" w:sz="0" w:space="0" w:color="auto"/>
        <w:left w:val="none" w:sz="0" w:space="0" w:color="auto"/>
        <w:bottom w:val="none" w:sz="0" w:space="0" w:color="auto"/>
        <w:right w:val="none" w:sz="0" w:space="0" w:color="auto"/>
      </w:divBdr>
    </w:div>
    <w:div w:id="400325476">
      <w:bodyDiv w:val="1"/>
      <w:marLeft w:val="0"/>
      <w:marRight w:val="0"/>
      <w:marTop w:val="0"/>
      <w:marBottom w:val="0"/>
      <w:divBdr>
        <w:top w:val="none" w:sz="0" w:space="0" w:color="auto"/>
        <w:left w:val="none" w:sz="0" w:space="0" w:color="auto"/>
        <w:bottom w:val="none" w:sz="0" w:space="0" w:color="auto"/>
        <w:right w:val="none" w:sz="0" w:space="0" w:color="auto"/>
      </w:divBdr>
    </w:div>
    <w:div w:id="472258198">
      <w:bodyDiv w:val="1"/>
      <w:marLeft w:val="0"/>
      <w:marRight w:val="0"/>
      <w:marTop w:val="0"/>
      <w:marBottom w:val="0"/>
      <w:divBdr>
        <w:top w:val="none" w:sz="0" w:space="0" w:color="auto"/>
        <w:left w:val="none" w:sz="0" w:space="0" w:color="auto"/>
        <w:bottom w:val="none" w:sz="0" w:space="0" w:color="auto"/>
        <w:right w:val="none" w:sz="0" w:space="0" w:color="auto"/>
      </w:divBdr>
    </w:div>
    <w:div w:id="641038382">
      <w:bodyDiv w:val="1"/>
      <w:marLeft w:val="0"/>
      <w:marRight w:val="0"/>
      <w:marTop w:val="0"/>
      <w:marBottom w:val="0"/>
      <w:divBdr>
        <w:top w:val="none" w:sz="0" w:space="0" w:color="auto"/>
        <w:left w:val="none" w:sz="0" w:space="0" w:color="auto"/>
        <w:bottom w:val="none" w:sz="0" w:space="0" w:color="auto"/>
        <w:right w:val="none" w:sz="0" w:space="0" w:color="auto"/>
      </w:divBdr>
    </w:div>
    <w:div w:id="697393623">
      <w:bodyDiv w:val="1"/>
      <w:marLeft w:val="0"/>
      <w:marRight w:val="0"/>
      <w:marTop w:val="0"/>
      <w:marBottom w:val="0"/>
      <w:divBdr>
        <w:top w:val="none" w:sz="0" w:space="0" w:color="auto"/>
        <w:left w:val="none" w:sz="0" w:space="0" w:color="auto"/>
        <w:bottom w:val="none" w:sz="0" w:space="0" w:color="auto"/>
        <w:right w:val="none" w:sz="0" w:space="0" w:color="auto"/>
      </w:divBdr>
    </w:div>
    <w:div w:id="791243086">
      <w:bodyDiv w:val="1"/>
      <w:marLeft w:val="0"/>
      <w:marRight w:val="0"/>
      <w:marTop w:val="0"/>
      <w:marBottom w:val="0"/>
      <w:divBdr>
        <w:top w:val="none" w:sz="0" w:space="0" w:color="auto"/>
        <w:left w:val="none" w:sz="0" w:space="0" w:color="auto"/>
        <w:bottom w:val="none" w:sz="0" w:space="0" w:color="auto"/>
        <w:right w:val="none" w:sz="0" w:space="0" w:color="auto"/>
      </w:divBdr>
    </w:div>
    <w:div w:id="816609632">
      <w:bodyDiv w:val="1"/>
      <w:marLeft w:val="0"/>
      <w:marRight w:val="0"/>
      <w:marTop w:val="0"/>
      <w:marBottom w:val="0"/>
      <w:divBdr>
        <w:top w:val="none" w:sz="0" w:space="0" w:color="auto"/>
        <w:left w:val="none" w:sz="0" w:space="0" w:color="auto"/>
        <w:bottom w:val="none" w:sz="0" w:space="0" w:color="auto"/>
        <w:right w:val="none" w:sz="0" w:space="0" w:color="auto"/>
      </w:divBdr>
    </w:div>
    <w:div w:id="848788213">
      <w:bodyDiv w:val="1"/>
      <w:marLeft w:val="0"/>
      <w:marRight w:val="0"/>
      <w:marTop w:val="0"/>
      <w:marBottom w:val="0"/>
      <w:divBdr>
        <w:top w:val="none" w:sz="0" w:space="0" w:color="auto"/>
        <w:left w:val="none" w:sz="0" w:space="0" w:color="auto"/>
        <w:bottom w:val="none" w:sz="0" w:space="0" w:color="auto"/>
        <w:right w:val="none" w:sz="0" w:space="0" w:color="auto"/>
      </w:divBdr>
    </w:div>
    <w:div w:id="961687010">
      <w:bodyDiv w:val="1"/>
      <w:marLeft w:val="0"/>
      <w:marRight w:val="0"/>
      <w:marTop w:val="0"/>
      <w:marBottom w:val="0"/>
      <w:divBdr>
        <w:top w:val="none" w:sz="0" w:space="0" w:color="auto"/>
        <w:left w:val="none" w:sz="0" w:space="0" w:color="auto"/>
        <w:bottom w:val="none" w:sz="0" w:space="0" w:color="auto"/>
        <w:right w:val="none" w:sz="0" w:space="0" w:color="auto"/>
      </w:divBdr>
    </w:div>
    <w:div w:id="983662052">
      <w:bodyDiv w:val="1"/>
      <w:marLeft w:val="0"/>
      <w:marRight w:val="0"/>
      <w:marTop w:val="0"/>
      <w:marBottom w:val="0"/>
      <w:divBdr>
        <w:top w:val="none" w:sz="0" w:space="0" w:color="auto"/>
        <w:left w:val="none" w:sz="0" w:space="0" w:color="auto"/>
        <w:bottom w:val="none" w:sz="0" w:space="0" w:color="auto"/>
        <w:right w:val="none" w:sz="0" w:space="0" w:color="auto"/>
      </w:divBdr>
    </w:div>
    <w:div w:id="1046182996">
      <w:bodyDiv w:val="1"/>
      <w:marLeft w:val="0"/>
      <w:marRight w:val="0"/>
      <w:marTop w:val="0"/>
      <w:marBottom w:val="0"/>
      <w:divBdr>
        <w:top w:val="none" w:sz="0" w:space="0" w:color="auto"/>
        <w:left w:val="none" w:sz="0" w:space="0" w:color="auto"/>
        <w:bottom w:val="none" w:sz="0" w:space="0" w:color="auto"/>
        <w:right w:val="none" w:sz="0" w:space="0" w:color="auto"/>
      </w:divBdr>
    </w:div>
    <w:div w:id="1060009458">
      <w:bodyDiv w:val="1"/>
      <w:marLeft w:val="0"/>
      <w:marRight w:val="0"/>
      <w:marTop w:val="0"/>
      <w:marBottom w:val="0"/>
      <w:divBdr>
        <w:top w:val="none" w:sz="0" w:space="0" w:color="auto"/>
        <w:left w:val="none" w:sz="0" w:space="0" w:color="auto"/>
        <w:bottom w:val="none" w:sz="0" w:space="0" w:color="auto"/>
        <w:right w:val="none" w:sz="0" w:space="0" w:color="auto"/>
      </w:divBdr>
    </w:div>
    <w:div w:id="1079059453">
      <w:bodyDiv w:val="1"/>
      <w:marLeft w:val="0"/>
      <w:marRight w:val="0"/>
      <w:marTop w:val="0"/>
      <w:marBottom w:val="0"/>
      <w:divBdr>
        <w:top w:val="none" w:sz="0" w:space="0" w:color="auto"/>
        <w:left w:val="none" w:sz="0" w:space="0" w:color="auto"/>
        <w:bottom w:val="none" w:sz="0" w:space="0" w:color="auto"/>
        <w:right w:val="none" w:sz="0" w:space="0" w:color="auto"/>
      </w:divBdr>
    </w:div>
    <w:div w:id="1088232760">
      <w:bodyDiv w:val="1"/>
      <w:marLeft w:val="0"/>
      <w:marRight w:val="0"/>
      <w:marTop w:val="0"/>
      <w:marBottom w:val="0"/>
      <w:divBdr>
        <w:top w:val="none" w:sz="0" w:space="0" w:color="auto"/>
        <w:left w:val="none" w:sz="0" w:space="0" w:color="auto"/>
        <w:bottom w:val="none" w:sz="0" w:space="0" w:color="auto"/>
        <w:right w:val="none" w:sz="0" w:space="0" w:color="auto"/>
      </w:divBdr>
    </w:div>
    <w:div w:id="1115826677">
      <w:bodyDiv w:val="1"/>
      <w:marLeft w:val="0"/>
      <w:marRight w:val="0"/>
      <w:marTop w:val="0"/>
      <w:marBottom w:val="0"/>
      <w:divBdr>
        <w:top w:val="none" w:sz="0" w:space="0" w:color="auto"/>
        <w:left w:val="none" w:sz="0" w:space="0" w:color="auto"/>
        <w:bottom w:val="none" w:sz="0" w:space="0" w:color="auto"/>
        <w:right w:val="none" w:sz="0" w:space="0" w:color="auto"/>
      </w:divBdr>
    </w:div>
    <w:div w:id="1148520348">
      <w:bodyDiv w:val="1"/>
      <w:marLeft w:val="0"/>
      <w:marRight w:val="0"/>
      <w:marTop w:val="0"/>
      <w:marBottom w:val="0"/>
      <w:divBdr>
        <w:top w:val="none" w:sz="0" w:space="0" w:color="auto"/>
        <w:left w:val="none" w:sz="0" w:space="0" w:color="auto"/>
        <w:bottom w:val="none" w:sz="0" w:space="0" w:color="auto"/>
        <w:right w:val="none" w:sz="0" w:space="0" w:color="auto"/>
      </w:divBdr>
    </w:div>
    <w:div w:id="1270893849">
      <w:bodyDiv w:val="1"/>
      <w:marLeft w:val="0"/>
      <w:marRight w:val="0"/>
      <w:marTop w:val="0"/>
      <w:marBottom w:val="0"/>
      <w:divBdr>
        <w:top w:val="none" w:sz="0" w:space="0" w:color="auto"/>
        <w:left w:val="none" w:sz="0" w:space="0" w:color="auto"/>
        <w:bottom w:val="none" w:sz="0" w:space="0" w:color="auto"/>
        <w:right w:val="none" w:sz="0" w:space="0" w:color="auto"/>
      </w:divBdr>
    </w:div>
    <w:div w:id="1275291162">
      <w:bodyDiv w:val="1"/>
      <w:marLeft w:val="0"/>
      <w:marRight w:val="0"/>
      <w:marTop w:val="0"/>
      <w:marBottom w:val="0"/>
      <w:divBdr>
        <w:top w:val="none" w:sz="0" w:space="0" w:color="auto"/>
        <w:left w:val="none" w:sz="0" w:space="0" w:color="auto"/>
        <w:bottom w:val="none" w:sz="0" w:space="0" w:color="auto"/>
        <w:right w:val="none" w:sz="0" w:space="0" w:color="auto"/>
      </w:divBdr>
    </w:div>
    <w:div w:id="1331911337">
      <w:bodyDiv w:val="1"/>
      <w:marLeft w:val="0"/>
      <w:marRight w:val="0"/>
      <w:marTop w:val="0"/>
      <w:marBottom w:val="0"/>
      <w:divBdr>
        <w:top w:val="none" w:sz="0" w:space="0" w:color="auto"/>
        <w:left w:val="none" w:sz="0" w:space="0" w:color="auto"/>
        <w:bottom w:val="none" w:sz="0" w:space="0" w:color="auto"/>
        <w:right w:val="none" w:sz="0" w:space="0" w:color="auto"/>
      </w:divBdr>
    </w:div>
    <w:div w:id="1343362041">
      <w:bodyDiv w:val="1"/>
      <w:marLeft w:val="0"/>
      <w:marRight w:val="0"/>
      <w:marTop w:val="0"/>
      <w:marBottom w:val="0"/>
      <w:divBdr>
        <w:top w:val="none" w:sz="0" w:space="0" w:color="auto"/>
        <w:left w:val="none" w:sz="0" w:space="0" w:color="auto"/>
        <w:bottom w:val="none" w:sz="0" w:space="0" w:color="auto"/>
        <w:right w:val="none" w:sz="0" w:space="0" w:color="auto"/>
      </w:divBdr>
    </w:div>
    <w:div w:id="1355617932">
      <w:bodyDiv w:val="1"/>
      <w:marLeft w:val="0"/>
      <w:marRight w:val="0"/>
      <w:marTop w:val="0"/>
      <w:marBottom w:val="0"/>
      <w:divBdr>
        <w:top w:val="none" w:sz="0" w:space="0" w:color="auto"/>
        <w:left w:val="none" w:sz="0" w:space="0" w:color="auto"/>
        <w:bottom w:val="none" w:sz="0" w:space="0" w:color="auto"/>
        <w:right w:val="none" w:sz="0" w:space="0" w:color="auto"/>
      </w:divBdr>
    </w:div>
    <w:div w:id="1435829409">
      <w:bodyDiv w:val="1"/>
      <w:marLeft w:val="0"/>
      <w:marRight w:val="0"/>
      <w:marTop w:val="0"/>
      <w:marBottom w:val="0"/>
      <w:divBdr>
        <w:top w:val="none" w:sz="0" w:space="0" w:color="auto"/>
        <w:left w:val="none" w:sz="0" w:space="0" w:color="auto"/>
        <w:bottom w:val="none" w:sz="0" w:space="0" w:color="auto"/>
        <w:right w:val="none" w:sz="0" w:space="0" w:color="auto"/>
      </w:divBdr>
    </w:div>
    <w:div w:id="1438407237">
      <w:bodyDiv w:val="1"/>
      <w:marLeft w:val="0"/>
      <w:marRight w:val="0"/>
      <w:marTop w:val="0"/>
      <w:marBottom w:val="0"/>
      <w:divBdr>
        <w:top w:val="none" w:sz="0" w:space="0" w:color="auto"/>
        <w:left w:val="none" w:sz="0" w:space="0" w:color="auto"/>
        <w:bottom w:val="none" w:sz="0" w:space="0" w:color="auto"/>
        <w:right w:val="none" w:sz="0" w:space="0" w:color="auto"/>
      </w:divBdr>
    </w:div>
    <w:div w:id="1529179443">
      <w:bodyDiv w:val="1"/>
      <w:marLeft w:val="0"/>
      <w:marRight w:val="0"/>
      <w:marTop w:val="0"/>
      <w:marBottom w:val="0"/>
      <w:divBdr>
        <w:top w:val="none" w:sz="0" w:space="0" w:color="auto"/>
        <w:left w:val="none" w:sz="0" w:space="0" w:color="auto"/>
        <w:bottom w:val="none" w:sz="0" w:space="0" w:color="auto"/>
        <w:right w:val="none" w:sz="0" w:space="0" w:color="auto"/>
      </w:divBdr>
    </w:div>
    <w:div w:id="1539312886">
      <w:bodyDiv w:val="1"/>
      <w:marLeft w:val="0"/>
      <w:marRight w:val="0"/>
      <w:marTop w:val="0"/>
      <w:marBottom w:val="0"/>
      <w:divBdr>
        <w:top w:val="none" w:sz="0" w:space="0" w:color="auto"/>
        <w:left w:val="none" w:sz="0" w:space="0" w:color="auto"/>
        <w:bottom w:val="none" w:sz="0" w:space="0" w:color="auto"/>
        <w:right w:val="none" w:sz="0" w:space="0" w:color="auto"/>
      </w:divBdr>
    </w:div>
    <w:div w:id="1600067792">
      <w:bodyDiv w:val="1"/>
      <w:marLeft w:val="0"/>
      <w:marRight w:val="0"/>
      <w:marTop w:val="0"/>
      <w:marBottom w:val="0"/>
      <w:divBdr>
        <w:top w:val="none" w:sz="0" w:space="0" w:color="auto"/>
        <w:left w:val="none" w:sz="0" w:space="0" w:color="auto"/>
        <w:bottom w:val="none" w:sz="0" w:space="0" w:color="auto"/>
        <w:right w:val="none" w:sz="0" w:space="0" w:color="auto"/>
      </w:divBdr>
    </w:div>
    <w:div w:id="1643191130">
      <w:bodyDiv w:val="1"/>
      <w:marLeft w:val="0"/>
      <w:marRight w:val="0"/>
      <w:marTop w:val="0"/>
      <w:marBottom w:val="0"/>
      <w:divBdr>
        <w:top w:val="none" w:sz="0" w:space="0" w:color="auto"/>
        <w:left w:val="none" w:sz="0" w:space="0" w:color="auto"/>
        <w:bottom w:val="none" w:sz="0" w:space="0" w:color="auto"/>
        <w:right w:val="none" w:sz="0" w:space="0" w:color="auto"/>
      </w:divBdr>
    </w:div>
    <w:div w:id="1675257273">
      <w:bodyDiv w:val="1"/>
      <w:marLeft w:val="0"/>
      <w:marRight w:val="0"/>
      <w:marTop w:val="0"/>
      <w:marBottom w:val="0"/>
      <w:divBdr>
        <w:top w:val="none" w:sz="0" w:space="0" w:color="auto"/>
        <w:left w:val="none" w:sz="0" w:space="0" w:color="auto"/>
        <w:bottom w:val="none" w:sz="0" w:space="0" w:color="auto"/>
        <w:right w:val="none" w:sz="0" w:space="0" w:color="auto"/>
      </w:divBdr>
    </w:div>
    <w:div w:id="1676881877">
      <w:bodyDiv w:val="1"/>
      <w:marLeft w:val="0"/>
      <w:marRight w:val="0"/>
      <w:marTop w:val="0"/>
      <w:marBottom w:val="0"/>
      <w:divBdr>
        <w:top w:val="none" w:sz="0" w:space="0" w:color="auto"/>
        <w:left w:val="none" w:sz="0" w:space="0" w:color="auto"/>
        <w:bottom w:val="none" w:sz="0" w:space="0" w:color="auto"/>
        <w:right w:val="none" w:sz="0" w:space="0" w:color="auto"/>
      </w:divBdr>
    </w:div>
    <w:div w:id="1679455315">
      <w:bodyDiv w:val="1"/>
      <w:marLeft w:val="0"/>
      <w:marRight w:val="0"/>
      <w:marTop w:val="0"/>
      <w:marBottom w:val="0"/>
      <w:divBdr>
        <w:top w:val="none" w:sz="0" w:space="0" w:color="auto"/>
        <w:left w:val="none" w:sz="0" w:space="0" w:color="auto"/>
        <w:bottom w:val="none" w:sz="0" w:space="0" w:color="auto"/>
        <w:right w:val="none" w:sz="0" w:space="0" w:color="auto"/>
      </w:divBdr>
    </w:div>
    <w:div w:id="1706103593">
      <w:bodyDiv w:val="1"/>
      <w:marLeft w:val="0"/>
      <w:marRight w:val="0"/>
      <w:marTop w:val="0"/>
      <w:marBottom w:val="0"/>
      <w:divBdr>
        <w:top w:val="none" w:sz="0" w:space="0" w:color="auto"/>
        <w:left w:val="none" w:sz="0" w:space="0" w:color="auto"/>
        <w:bottom w:val="none" w:sz="0" w:space="0" w:color="auto"/>
        <w:right w:val="none" w:sz="0" w:space="0" w:color="auto"/>
      </w:divBdr>
    </w:div>
    <w:div w:id="1723169564">
      <w:bodyDiv w:val="1"/>
      <w:marLeft w:val="0"/>
      <w:marRight w:val="0"/>
      <w:marTop w:val="0"/>
      <w:marBottom w:val="0"/>
      <w:divBdr>
        <w:top w:val="none" w:sz="0" w:space="0" w:color="auto"/>
        <w:left w:val="none" w:sz="0" w:space="0" w:color="auto"/>
        <w:bottom w:val="none" w:sz="0" w:space="0" w:color="auto"/>
        <w:right w:val="none" w:sz="0" w:space="0" w:color="auto"/>
      </w:divBdr>
    </w:div>
    <w:div w:id="1734232039">
      <w:bodyDiv w:val="1"/>
      <w:marLeft w:val="0"/>
      <w:marRight w:val="0"/>
      <w:marTop w:val="0"/>
      <w:marBottom w:val="0"/>
      <w:divBdr>
        <w:top w:val="none" w:sz="0" w:space="0" w:color="auto"/>
        <w:left w:val="none" w:sz="0" w:space="0" w:color="auto"/>
        <w:bottom w:val="none" w:sz="0" w:space="0" w:color="auto"/>
        <w:right w:val="none" w:sz="0" w:space="0" w:color="auto"/>
      </w:divBdr>
    </w:div>
    <w:div w:id="1739161542">
      <w:bodyDiv w:val="1"/>
      <w:marLeft w:val="0"/>
      <w:marRight w:val="0"/>
      <w:marTop w:val="0"/>
      <w:marBottom w:val="0"/>
      <w:divBdr>
        <w:top w:val="none" w:sz="0" w:space="0" w:color="auto"/>
        <w:left w:val="none" w:sz="0" w:space="0" w:color="auto"/>
        <w:bottom w:val="none" w:sz="0" w:space="0" w:color="auto"/>
        <w:right w:val="none" w:sz="0" w:space="0" w:color="auto"/>
      </w:divBdr>
    </w:div>
    <w:div w:id="1762867519">
      <w:bodyDiv w:val="1"/>
      <w:marLeft w:val="0"/>
      <w:marRight w:val="0"/>
      <w:marTop w:val="0"/>
      <w:marBottom w:val="0"/>
      <w:divBdr>
        <w:top w:val="none" w:sz="0" w:space="0" w:color="auto"/>
        <w:left w:val="none" w:sz="0" w:space="0" w:color="auto"/>
        <w:bottom w:val="none" w:sz="0" w:space="0" w:color="auto"/>
        <w:right w:val="none" w:sz="0" w:space="0" w:color="auto"/>
      </w:divBdr>
    </w:div>
    <w:div w:id="1780904542">
      <w:bodyDiv w:val="1"/>
      <w:marLeft w:val="0"/>
      <w:marRight w:val="0"/>
      <w:marTop w:val="0"/>
      <w:marBottom w:val="0"/>
      <w:divBdr>
        <w:top w:val="none" w:sz="0" w:space="0" w:color="auto"/>
        <w:left w:val="none" w:sz="0" w:space="0" w:color="auto"/>
        <w:bottom w:val="none" w:sz="0" w:space="0" w:color="auto"/>
        <w:right w:val="none" w:sz="0" w:space="0" w:color="auto"/>
      </w:divBdr>
    </w:div>
    <w:div w:id="1795176205">
      <w:bodyDiv w:val="1"/>
      <w:marLeft w:val="0"/>
      <w:marRight w:val="0"/>
      <w:marTop w:val="0"/>
      <w:marBottom w:val="0"/>
      <w:divBdr>
        <w:top w:val="none" w:sz="0" w:space="0" w:color="auto"/>
        <w:left w:val="none" w:sz="0" w:space="0" w:color="auto"/>
        <w:bottom w:val="none" w:sz="0" w:space="0" w:color="auto"/>
        <w:right w:val="none" w:sz="0" w:space="0" w:color="auto"/>
      </w:divBdr>
    </w:div>
    <w:div w:id="1899050200">
      <w:bodyDiv w:val="1"/>
      <w:marLeft w:val="0"/>
      <w:marRight w:val="0"/>
      <w:marTop w:val="0"/>
      <w:marBottom w:val="0"/>
      <w:divBdr>
        <w:top w:val="none" w:sz="0" w:space="0" w:color="auto"/>
        <w:left w:val="none" w:sz="0" w:space="0" w:color="auto"/>
        <w:bottom w:val="none" w:sz="0" w:space="0" w:color="auto"/>
        <w:right w:val="none" w:sz="0" w:space="0" w:color="auto"/>
      </w:divBdr>
    </w:div>
    <w:div w:id="2073194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conomy-finance.ec.europa.eu/economic-forecast-and-surveys/economic-forecasts/spring-2022-economic-forecast-russian-invasion-tests-eu-economic-resilience_en" TargetMode="External"/><Relationship Id="rId1" Type="http://schemas.openxmlformats.org/officeDocument/2006/relationships/hyperlink" Target="https://www.nbg.gr/el/omilos/meletes-oikonomikes-analuseis/reports/smes-2022-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a:t>
            </a:r>
            <a:endParaRPr lang="en-US" sz="1200"/>
          </a:p>
          <a:p>
            <a:pPr>
              <a:defRPr sz="1200"/>
            </a:pPr>
            <a:r>
              <a:rPr lang="el-GR" sz="1200"/>
              <a:t>Δείκτης</a:t>
            </a:r>
            <a:r>
              <a:rPr lang="el-GR" sz="1200" baseline="0"/>
              <a:t> Οικονομικού Κλίματος ΜμΕ</a:t>
            </a:r>
            <a:endParaRPr lang="el-GR" sz="1200"/>
          </a:p>
        </c:rich>
      </c:tx>
      <c:overlay val="0"/>
    </c:title>
    <c:autoTitleDeleted val="0"/>
    <c:plotArea>
      <c:layout/>
      <c:lineChart>
        <c:grouping val="standard"/>
        <c:varyColors val="0"/>
        <c:ser>
          <c:idx val="0"/>
          <c:order val="0"/>
          <c:tx>
            <c:strRef>
              <c:f>'ΓΡΑΦΗΜΑ 1'!#REF!</c:f>
              <c:strCache>
                <c:ptCount val="1"/>
                <c:pt idx="0">
                  <c:v>#REF!</c:v>
                </c:pt>
              </c:strCache>
            </c:strRef>
          </c:tx>
          <c:marker>
            <c:symbol val="none"/>
          </c:marker>
          <c:cat>
            <c:strRef>
              <c:f>'ΓΡΑΦΗΜΑ 1'!$B$2:$V$2</c:f>
              <c:strCache>
                <c:ptCount val="21"/>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strCache>
            </c:strRef>
          </c:cat>
          <c:val>
            <c:numRef>
              <c:f>'ΓΡΑΦΗΜΑ 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0-F0C4-407E-A7BA-1681317DF604}"/>
            </c:ext>
          </c:extLst>
        </c:ser>
        <c:ser>
          <c:idx val="1"/>
          <c:order val="1"/>
          <c:tx>
            <c:strRef>
              <c:f>'ΓΡΑΦΗΜΑ 1'!$A$3</c:f>
              <c:strCache>
                <c:ptCount val="1"/>
                <c:pt idx="0">
                  <c:v>Δείκτης οικονομικού κλίματος Ελληνικών ΜΜΕ</c:v>
                </c:pt>
              </c:strCache>
            </c:strRef>
          </c:tx>
          <c:marker>
            <c:symbol val="none"/>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1'!$B$2:$V$2</c:f>
              <c:strCache>
                <c:ptCount val="21"/>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strCache>
            </c:strRef>
          </c:cat>
          <c:val>
            <c:numRef>
              <c:f>'ΓΡΑΦΗΜΑ 1'!$B$3:$V$3</c:f>
              <c:numCache>
                <c:formatCode>0.0</c:formatCode>
                <c:ptCount val="21"/>
                <c:pt idx="0">
                  <c:v>11.723446893787553</c:v>
                </c:pt>
                <c:pt idx="1">
                  <c:v>17.917917917917919</c:v>
                </c:pt>
                <c:pt idx="2">
                  <c:v>24.599999999999994</c:v>
                </c:pt>
                <c:pt idx="3">
                  <c:v>29.700000000000003</c:v>
                </c:pt>
                <c:pt idx="4">
                  <c:v>35.170340681362731</c:v>
                </c:pt>
                <c:pt idx="5">
                  <c:v>41.341341341341348</c:v>
                </c:pt>
                <c:pt idx="6">
                  <c:v>15.700000000000003</c:v>
                </c:pt>
                <c:pt idx="7">
                  <c:v>24.924924924924923</c:v>
                </c:pt>
                <c:pt idx="8">
                  <c:v>30.799999999999997</c:v>
                </c:pt>
                <c:pt idx="9">
                  <c:v>30.992978936810417</c:v>
                </c:pt>
                <c:pt idx="10">
                  <c:v>41.482965931863724</c:v>
                </c:pt>
                <c:pt idx="11">
                  <c:v>46.666666666666664</c:v>
                </c:pt>
                <c:pt idx="12">
                  <c:v>52.958876629889673</c:v>
                </c:pt>
                <c:pt idx="13">
                  <c:v>58.758758758758759</c:v>
                </c:pt>
                <c:pt idx="14">
                  <c:v>61.933534743202422</c:v>
                </c:pt>
                <c:pt idx="15">
                  <c:v>66.365461847389554</c:v>
                </c:pt>
                <c:pt idx="16">
                  <c:v>20.100000000000001</c:v>
                </c:pt>
                <c:pt idx="17">
                  <c:v>20.100000000000001</c:v>
                </c:pt>
                <c:pt idx="18" formatCode="General">
                  <c:v>46.3</c:v>
                </c:pt>
                <c:pt idx="19" formatCode="General">
                  <c:v>52.4</c:v>
                </c:pt>
                <c:pt idx="20">
                  <c:v>54.3</c:v>
                </c:pt>
              </c:numCache>
            </c:numRef>
          </c:val>
          <c:smooth val="0"/>
          <c:extLst xmlns:c16r2="http://schemas.microsoft.com/office/drawing/2015/06/chart">
            <c:ext xmlns:c16="http://schemas.microsoft.com/office/drawing/2014/chart" uri="{C3380CC4-5D6E-409C-BE32-E72D297353CC}">
              <c16:uniqueId val="{00000001-F0C4-407E-A7BA-1681317DF604}"/>
            </c:ext>
          </c:extLst>
        </c:ser>
        <c:dLbls>
          <c:showLegendKey val="0"/>
          <c:showVal val="0"/>
          <c:showCatName val="0"/>
          <c:showSerName val="0"/>
          <c:showPercent val="0"/>
          <c:showBubbleSize val="0"/>
        </c:dLbls>
        <c:marker val="1"/>
        <c:smooth val="0"/>
        <c:axId val="261126784"/>
        <c:axId val="296760448"/>
      </c:lineChart>
      <c:catAx>
        <c:axId val="261126784"/>
        <c:scaling>
          <c:orientation val="minMax"/>
        </c:scaling>
        <c:delete val="0"/>
        <c:axPos val="b"/>
        <c:numFmt formatCode="General" sourceLinked="0"/>
        <c:majorTickMark val="out"/>
        <c:minorTickMark val="none"/>
        <c:tickLblPos val="nextTo"/>
        <c:txPr>
          <a:bodyPr/>
          <a:lstStyle/>
          <a:p>
            <a:pPr>
              <a:defRPr sz="700"/>
            </a:pPr>
            <a:endParaRPr lang="el-GR"/>
          </a:p>
        </c:txPr>
        <c:crossAx val="296760448"/>
        <c:crosses val="autoZero"/>
        <c:auto val="1"/>
        <c:lblAlgn val="ctr"/>
        <c:lblOffset val="100"/>
        <c:noMultiLvlLbl val="0"/>
      </c:catAx>
      <c:valAx>
        <c:axId val="296760448"/>
        <c:scaling>
          <c:orientation val="minMax"/>
          <c:max val="100"/>
        </c:scaling>
        <c:delete val="0"/>
        <c:axPos val="l"/>
        <c:majorGridlines/>
        <c:numFmt formatCode="General" sourceLinked="1"/>
        <c:majorTickMark val="out"/>
        <c:minorTickMark val="none"/>
        <c:tickLblPos val="nextTo"/>
        <c:crossAx val="26112678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400"/>
              <a:t>Γράφημα 10  </a:t>
            </a:r>
            <a:endParaRPr lang="en-US" sz="1400"/>
          </a:p>
          <a:p>
            <a:pPr>
              <a:defRPr sz="1200"/>
            </a:pPr>
            <a:r>
              <a:rPr lang="el-GR" sz="1400"/>
              <a:t>Επενδύσεις σε επίπεδο κλάδου</a:t>
            </a:r>
            <a:r>
              <a:rPr lang="el-GR" sz="1400" baseline="0"/>
              <a:t> </a:t>
            </a:r>
            <a:endParaRPr lang="el-GR" sz="1400"/>
          </a:p>
        </c:rich>
      </c:tx>
      <c:overlay val="0"/>
    </c:title>
    <c:autoTitleDeleted val="0"/>
    <c:plotArea>
      <c:layout/>
      <c:barChart>
        <c:barDir val="col"/>
        <c:grouping val="clustered"/>
        <c:varyColors val="0"/>
        <c:ser>
          <c:idx val="0"/>
          <c:order val="0"/>
          <c:tx>
            <c:strRef>
              <c:f>'ΓΡΑΦΗΜΑ 10'!$A$4</c:f>
              <c:strCache>
                <c:ptCount val="1"/>
                <c:pt idx="0">
                  <c:v>Τεχνολογικό εξοπλισμό και ψηφιακές τεχνολογίες</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10'!$B$4:$D$4</c:f>
              <c:numCache>
                <c:formatCode>0.0%</c:formatCode>
                <c:ptCount val="3"/>
                <c:pt idx="0">
                  <c:v>0.23076923076923078</c:v>
                </c:pt>
                <c:pt idx="1">
                  <c:v>0.10880829015544041</c:v>
                </c:pt>
                <c:pt idx="2">
                  <c:v>0.17152103559870549</c:v>
                </c:pt>
              </c:numCache>
            </c:numRef>
          </c:val>
          <c:extLst xmlns:c16r2="http://schemas.microsoft.com/office/drawing/2015/06/chart">
            <c:ext xmlns:c16="http://schemas.microsoft.com/office/drawing/2014/chart" uri="{C3380CC4-5D6E-409C-BE32-E72D297353CC}">
              <c16:uniqueId val="{00000000-2D56-4A50-B9B5-1ABB87331EC0}"/>
            </c:ext>
          </c:extLst>
        </c:ser>
        <c:ser>
          <c:idx val="1"/>
          <c:order val="1"/>
          <c:tx>
            <c:strRef>
              <c:f>'ΓΡΑΦΗΜΑ 10'!$A$5</c:f>
              <c:strCache>
                <c:ptCount val="1"/>
                <c:pt idx="0">
                  <c:v>Μηχανολογικό εξοπλισμό και λοιπά μηχανήματα</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10'!$B$5:$D$5</c:f>
              <c:numCache>
                <c:formatCode>0.0%</c:formatCode>
                <c:ptCount val="3"/>
                <c:pt idx="0">
                  <c:v>0.10367892976588629</c:v>
                </c:pt>
                <c:pt idx="1">
                  <c:v>0.13989637305699482</c:v>
                </c:pt>
                <c:pt idx="2">
                  <c:v>0.16828478964401294</c:v>
                </c:pt>
              </c:numCache>
            </c:numRef>
          </c:val>
          <c:extLst xmlns:c16r2="http://schemas.microsoft.com/office/drawing/2015/06/chart">
            <c:ext xmlns:c16="http://schemas.microsoft.com/office/drawing/2014/chart" uri="{C3380CC4-5D6E-409C-BE32-E72D297353CC}">
              <c16:uniqueId val="{00000001-2D56-4A50-B9B5-1ABB87331EC0}"/>
            </c:ext>
          </c:extLst>
        </c:ser>
        <c:ser>
          <c:idx val="2"/>
          <c:order val="2"/>
          <c:tx>
            <c:strRef>
              <c:f>'ΓΡΑΦΗΜΑ 10'!$A$6</c:f>
              <c:strCache>
                <c:ptCount val="1"/>
                <c:pt idx="0">
                  <c:v>Κτιριακές εγκαταστάσεις και λοιπό εξοπλισμό</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10'!$B$6:$D$6</c:f>
              <c:numCache>
                <c:formatCode>0.0%</c:formatCode>
                <c:ptCount val="3"/>
                <c:pt idx="0">
                  <c:v>8.0267558528428096E-2</c:v>
                </c:pt>
                <c:pt idx="1">
                  <c:v>4.6632124352331605E-2</c:v>
                </c:pt>
                <c:pt idx="2">
                  <c:v>0.10355987055016182</c:v>
                </c:pt>
              </c:numCache>
            </c:numRef>
          </c:val>
          <c:extLst xmlns:c16r2="http://schemas.microsoft.com/office/drawing/2015/06/chart">
            <c:ext xmlns:c16="http://schemas.microsoft.com/office/drawing/2014/chart" uri="{C3380CC4-5D6E-409C-BE32-E72D297353CC}">
              <c16:uniqueId val="{00000002-2D56-4A50-B9B5-1ABB87331EC0}"/>
            </c:ext>
          </c:extLst>
        </c:ser>
        <c:ser>
          <c:idx val="3"/>
          <c:order val="3"/>
          <c:tx>
            <c:strRef>
              <c:f>'ΓΡΑΦΗΜΑ 10'!$A$7</c:f>
              <c:strCache>
                <c:ptCount val="1"/>
                <c:pt idx="0">
                  <c:v>Κατάρτιση – εκπαίδευση προσωπικού </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10'!$B$3:$D$3</c:f>
              <c:strCache>
                <c:ptCount val="3"/>
                <c:pt idx="0">
                  <c:v>Εμπόριο</c:v>
                </c:pt>
                <c:pt idx="1">
                  <c:v>Μεταποίηση</c:v>
                </c:pt>
                <c:pt idx="2">
                  <c:v>Υπηρεσίες</c:v>
                </c:pt>
              </c:strCache>
            </c:strRef>
          </c:cat>
          <c:val>
            <c:numRef>
              <c:f>'ΓΡΑΦΗΜΑ 10'!$B$7:$D$7</c:f>
              <c:numCache>
                <c:formatCode>0.0%</c:formatCode>
                <c:ptCount val="3"/>
                <c:pt idx="0">
                  <c:v>4.6822742474916385E-2</c:v>
                </c:pt>
                <c:pt idx="1">
                  <c:v>2.072538860103627E-2</c:v>
                </c:pt>
                <c:pt idx="2">
                  <c:v>8.7378640776699032E-2</c:v>
                </c:pt>
              </c:numCache>
            </c:numRef>
          </c:val>
          <c:extLst xmlns:c16r2="http://schemas.microsoft.com/office/drawing/2015/06/chart">
            <c:ext xmlns:c16="http://schemas.microsoft.com/office/drawing/2014/chart" uri="{C3380CC4-5D6E-409C-BE32-E72D297353CC}">
              <c16:uniqueId val="{00000003-2D56-4A50-B9B5-1ABB87331EC0}"/>
            </c:ext>
          </c:extLst>
        </c:ser>
        <c:dLbls>
          <c:showLegendKey val="0"/>
          <c:showVal val="0"/>
          <c:showCatName val="0"/>
          <c:showSerName val="0"/>
          <c:showPercent val="0"/>
          <c:showBubbleSize val="0"/>
        </c:dLbls>
        <c:gapWidth val="75"/>
        <c:axId val="266497408"/>
        <c:axId val="266527872"/>
      </c:barChart>
      <c:catAx>
        <c:axId val="266497408"/>
        <c:scaling>
          <c:orientation val="minMax"/>
        </c:scaling>
        <c:delete val="0"/>
        <c:axPos val="b"/>
        <c:numFmt formatCode="General" sourceLinked="0"/>
        <c:majorTickMark val="none"/>
        <c:minorTickMark val="none"/>
        <c:tickLblPos val="nextTo"/>
        <c:txPr>
          <a:bodyPr/>
          <a:lstStyle/>
          <a:p>
            <a:pPr>
              <a:defRPr sz="800"/>
            </a:pPr>
            <a:endParaRPr lang="el-GR"/>
          </a:p>
        </c:txPr>
        <c:crossAx val="266527872"/>
        <c:crosses val="autoZero"/>
        <c:auto val="1"/>
        <c:lblAlgn val="ctr"/>
        <c:lblOffset val="100"/>
        <c:noMultiLvlLbl val="0"/>
      </c:catAx>
      <c:valAx>
        <c:axId val="266527872"/>
        <c:scaling>
          <c:orientation val="minMax"/>
        </c:scaling>
        <c:delete val="0"/>
        <c:axPos val="l"/>
        <c:majorGridlines/>
        <c:numFmt formatCode="0.0%" sourceLinked="1"/>
        <c:majorTickMark val="none"/>
        <c:minorTickMark val="none"/>
        <c:tickLblPos val="nextTo"/>
        <c:spPr>
          <a:ln w="9525">
            <a:noFill/>
          </a:ln>
        </c:spPr>
        <c:crossAx val="266497408"/>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11</a:t>
            </a:r>
          </a:p>
          <a:p>
            <a:pPr>
              <a:defRPr sz="1200"/>
            </a:pPr>
            <a:r>
              <a:rPr lang="el-GR" sz="1200"/>
              <a:t>  Επενδύσεις βάσει του αριθμού εργαζομένων </a:t>
            </a:r>
          </a:p>
        </c:rich>
      </c:tx>
      <c:overlay val="0"/>
    </c:title>
    <c:autoTitleDeleted val="0"/>
    <c:plotArea>
      <c:layout/>
      <c:barChart>
        <c:barDir val="col"/>
        <c:grouping val="clustered"/>
        <c:varyColors val="0"/>
        <c:ser>
          <c:idx val="0"/>
          <c:order val="0"/>
          <c:tx>
            <c:strRef>
              <c:f>'ΓΡΑΦΗΜΑ 11'!$A$7</c:f>
              <c:strCache>
                <c:ptCount val="1"/>
                <c:pt idx="0">
                  <c:v>Τεχνολογικό εξοπλισμό και ψηφιακές τεχνολογίες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11'!$B$7:$E$7</c:f>
              <c:numCache>
                <c:formatCode>0.0%</c:formatCode>
                <c:ptCount val="4"/>
                <c:pt idx="0">
                  <c:v>0.11870503597122302</c:v>
                </c:pt>
                <c:pt idx="1">
                  <c:v>0.20936639118457301</c:v>
                </c:pt>
                <c:pt idx="2">
                  <c:v>0.17821782178217821</c:v>
                </c:pt>
                <c:pt idx="3">
                  <c:v>0.26923076923076922</c:v>
                </c:pt>
              </c:numCache>
            </c:numRef>
          </c:val>
          <c:extLst xmlns:c16r2="http://schemas.microsoft.com/office/drawing/2015/06/chart">
            <c:ext xmlns:c16="http://schemas.microsoft.com/office/drawing/2014/chart" uri="{C3380CC4-5D6E-409C-BE32-E72D297353CC}">
              <c16:uniqueId val="{00000000-0521-4CE3-9E00-C3CB8D016B1F}"/>
            </c:ext>
          </c:extLst>
        </c:ser>
        <c:ser>
          <c:idx val="1"/>
          <c:order val="1"/>
          <c:tx>
            <c:strRef>
              <c:f>'ΓΡΑΦΗΜΑ 11'!$A$8</c:f>
              <c:strCache>
                <c:ptCount val="1"/>
                <c:pt idx="0">
                  <c:v>Μηχανολογικό εξοπλισμό και λοιπά μηχανήματα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11'!$B$8:$E$8</c:f>
              <c:numCache>
                <c:formatCode>0.0%</c:formatCode>
                <c:ptCount val="4"/>
                <c:pt idx="0">
                  <c:v>5.7553956834532377E-2</c:v>
                </c:pt>
                <c:pt idx="1">
                  <c:v>0.1487603305785124</c:v>
                </c:pt>
                <c:pt idx="2">
                  <c:v>0.19801980198019803</c:v>
                </c:pt>
                <c:pt idx="3">
                  <c:v>0.34615384615384615</c:v>
                </c:pt>
              </c:numCache>
            </c:numRef>
          </c:val>
          <c:extLst xmlns:c16r2="http://schemas.microsoft.com/office/drawing/2015/06/chart">
            <c:ext xmlns:c16="http://schemas.microsoft.com/office/drawing/2014/chart" uri="{C3380CC4-5D6E-409C-BE32-E72D297353CC}">
              <c16:uniqueId val="{00000001-0521-4CE3-9E00-C3CB8D016B1F}"/>
            </c:ext>
          </c:extLst>
        </c:ser>
        <c:ser>
          <c:idx val="2"/>
          <c:order val="2"/>
          <c:tx>
            <c:strRef>
              <c:f>'ΓΡΑΦΗΜΑ 11'!$A$9</c:f>
              <c:strCache>
                <c:ptCount val="1"/>
                <c:pt idx="0">
                  <c:v>Κτιριακές εγκαταστάσεις και λοιπό εξοπλισμό</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11'!$B$9:$E$9</c:f>
              <c:numCache>
                <c:formatCode>0.0%</c:formatCode>
                <c:ptCount val="4"/>
                <c:pt idx="0">
                  <c:v>4.6762589928057555E-2</c:v>
                </c:pt>
                <c:pt idx="1">
                  <c:v>7.43801652892562E-2</c:v>
                </c:pt>
                <c:pt idx="2">
                  <c:v>0.12871287128712872</c:v>
                </c:pt>
                <c:pt idx="3">
                  <c:v>0.17307692307692307</c:v>
                </c:pt>
              </c:numCache>
            </c:numRef>
          </c:val>
          <c:extLst xmlns:c16r2="http://schemas.microsoft.com/office/drawing/2015/06/chart">
            <c:ext xmlns:c16="http://schemas.microsoft.com/office/drawing/2014/chart" uri="{C3380CC4-5D6E-409C-BE32-E72D297353CC}">
              <c16:uniqueId val="{00000002-0521-4CE3-9E00-C3CB8D016B1F}"/>
            </c:ext>
          </c:extLst>
        </c:ser>
        <c:ser>
          <c:idx val="3"/>
          <c:order val="3"/>
          <c:tx>
            <c:strRef>
              <c:f>'ΓΡΑΦΗΜΑ 11'!$A$10</c:f>
              <c:strCache>
                <c:ptCount val="1"/>
                <c:pt idx="0">
                  <c:v>Κατάρτιση – εκπαίδευση προσωπικού</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11'!$B$6:$E$6</c:f>
              <c:strCache>
                <c:ptCount val="4"/>
                <c:pt idx="0">
                  <c:v>Χωρίς προσωπικό</c:v>
                </c:pt>
                <c:pt idx="1">
                  <c:v>1 έως 4</c:v>
                </c:pt>
                <c:pt idx="2">
                  <c:v>5 έως 9</c:v>
                </c:pt>
                <c:pt idx="3">
                  <c:v>10 έως 49</c:v>
                </c:pt>
              </c:strCache>
            </c:strRef>
          </c:cat>
          <c:val>
            <c:numRef>
              <c:f>'ΓΡΑΦΗΜΑ 11'!$B$10:$E$10</c:f>
              <c:numCache>
                <c:formatCode>0.0%</c:formatCode>
                <c:ptCount val="4"/>
                <c:pt idx="0">
                  <c:v>1.0791366906474821E-2</c:v>
                </c:pt>
                <c:pt idx="1">
                  <c:v>5.7851239669421489E-2</c:v>
                </c:pt>
                <c:pt idx="2">
                  <c:v>0.12871287128712872</c:v>
                </c:pt>
                <c:pt idx="3">
                  <c:v>9.6153846153846159E-2</c:v>
                </c:pt>
              </c:numCache>
            </c:numRef>
          </c:val>
          <c:extLst xmlns:c16r2="http://schemas.microsoft.com/office/drawing/2015/06/chart">
            <c:ext xmlns:c16="http://schemas.microsoft.com/office/drawing/2014/chart" uri="{C3380CC4-5D6E-409C-BE32-E72D297353CC}">
              <c16:uniqueId val="{00000003-0521-4CE3-9E00-C3CB8D016B1F}"/>
            </c:ext>
          </c:extLst>
        </c:ser>
        <c:dLbls>
          <c:showLegendKey val="0"/>
          <c:showVal val="0"/>
          <c:showCatName val="0"/>
          <c:showSerName val="0"/>
          <c:showPercent val="0"/>
          <c:showBubbleSize val="0"/>
        </c:dLbls>
        <c:gapWidth val="75"/>
        <c:axId val="266627712"/>
        <c:axId val="266690944"/>
      </c:barChart>
      <c:catAx>
        <c:axId val="266627712"/>
        <c:scaling>
          <c:orientation val="minMax"/>
        </c:scaling>
        <c:delete val="0"/>
        <c:axPos val="b"/>
        <c:numFmt formatCode="General" sourceLinked="0"/>
        <c:majorTickMark val="none"/>
        <c:minorTickMark val="none"/>
        <c:tickLblPos val="nextTo"/>
        <c:crossAx val="266690944"/>
        <c:crosses val="autoZero"/>
        <c:auto val="1"/>
        <c:lblAlgn val="ctr"/>
        <c:lblOffset val="100"/>
        <c:noMultiLvlLbl val="0"/>
      </c:catAx>
      <c:valAx>
        <c:axId val="266690944"/>
        <c:scaling>
          <c:orientation val="minMax"/>
        </c:scaling>
        <c:delete val="0"/>
        <c:axPos val="l"/>
        <c:majorGridlines/>
        <c:numFmt formatCode="0.0%" sourceLinked="1"/>
        <c:majorTickMark val="none"/>
        <c:minorTickMark val="none"/>
        <c:tickLblPos val="nextTo"/>
        <c:spPr>
          <a:ln w="9525">
            <a:noFill/>
          </a:ln>
        </c:spPr>
        <c:crossAx val="266627712"/>
        <c:crosses val="autoZero"/>
        <c:crossBetween val="between"/>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12</a:t>
            </a:r>
          </a:p>
          <a:p>
            <a:pPr>
              <a:defRPr/>
            </a:pPr>
            <a:r>
              <a:rPr lang="el-GR" sz="1200"/>
              <a:t>  Επενδύσεις βάσει του κύκλου εργασιών</a:t>
            </a:r>
          </a:p>
        </c:rich>
      </c:tx>
      <c:overlay val="0"/>
    </c:title>
    <c:autoTitleDeleted val="0"/>
    <c:plotArea>
      <c:layout/>
      <c:barChart>
        <c:barDir val="col"/>
        <c:grouping val="clustered"/>
        <c:varyColors val="0"/>
        <c:ser>
          <c:idx val="0"/>
          <c:order val="0"/>
          <c:tx>
            <c:strRef>
              <c:f>'ΓΡΑΦΗΜΑ 12'!$A$6</c:f>
              <c:strCache>
                <c:ptCount val="1"/>
                <c:pt idx="0">
                  <c:v>Τεχνολογικό εξοπλισμό και ψηφιακές τεχνολογίες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12'!$B$6:$G$6</c:f>
              <c:numCache>
                <c:formatCode>0.0%</c:formatCode>
                <c:ptCount val="6"/>
                <c:pt idx="0">
                  <c:v>0.13165266106442577</c:v>
                </c:pt>
                <c:pt idx="1">
                  <c:v>0.17164179104477612</c:v>
                </c:pt>
                <c:pt idx="2">
                  <c:v>0.2391304347826087</c:v>
                </c:pt>
                <c:pt idx="3">
                  <c:v>0.22222222222222221</c:v>
                </c:pt>
                <c:pt idx="4">
                  <c:v>0.27272727272727271</c:v>
                </c:pt>
                <c:pt idx="5">
                  <c:v>0.42857142857142855</c:v>
                </c:pt>
              </c:numCache>
            </c:numRef>
          </c:val>
          <c:extLst xmlns:c16r2="http://schemas.microsoft.com/office/drawing/2015/06/chart">
            <c:ext xmlns:c16="http://schemas.microsoft.com/office/drawing/2014/chart" uri="{C3380CC4-5D6E-409C-BE32-E72D297353CC}">
              <c16:uniqueId val="{00000000-CDC2-4E5D-A9A4-2A9AEC17964B}"/>
            </c:ext>
          </c:extLst>
        </c:ser>
        <c:ser>
          <c:idx val="1"/>
          <c:order val="1"/>
          <c:tx>
            <c:strRef>
              <c:f>'ΓΡΑΦΗΜΑ 12'!$A$7</c:f>
              <c:strCache>
                <c:ptCount val="1"/>
                <c:pt idx="0">
                  <c:v>Μηχανολογικό εξοπλισμό και λοιπά μηχανήματα</c:v>
                </c:pt>
              </c:strCache>
            </c:strRef>
          </c:tx>
          <c:invertIfNegative val="0"/>
          <c:dLbls>
            <c:dLbl>
              <c:idx val="5"/>
              <c:layout>
                <c:manualLayout>
                  <c:x val="2.1917808219178082E-2"/>
                  <c:y val="-3.6231884057970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C2-4E5D-A9A4-2A9AEC17964B}"/>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12'!$B$7:$G$7</c:f>
              <c:numCache>
                <c:formatCode>0.0%</c:formatCode>
                <c:ptCount val="6"/>
                <c:pt idx="0">
                  <c:v>8.4033613445378158E-2</c:v>
                </c:pt>
                <c:pt idx="1">
                  <c:v>7.4626865671641784E-2</c:v>
                </c:pt>
                <c:pt idx="2">
                  <c:v>0.15217391304347827</c:v>
                </c:pt>
                <c:pt idx="3">
                  <c:v>0.30555555555555558</c:v>
                </c:pt>
                <c:pt idx="4">
                  <c:v>0.30303030303030304</c:v>
                </c:pt>
                <c:pt idx="5">
                  <c:v>0.42857142857142855</c:v>
                </c:pt>
              </c:numCache>
            </c:numRef>
          </c:val>
          <c:extLst xmlns:c16r2="http://schemas.microsoft.com/office/drawing/2015/06/chart">
            <c:ext xmlns:c16="http://schemas.microsoft.com/office/drawing/2014/chart" uri="{C3380CC4-5D6E-409C-BE32-E72D297353CC}">
              <c16:uniqueId val="{00000002-CDC2-4E5D-A9A4-2A9AEC17964B}"/>
            </c:ext>
          </c:extLst>
        </c:ser>
        <c:ser>
          <c:idx val="2"/>
          <c:order val="2"/>
          <c:tx>
            <c:strRef>
              <c:f>'ΓΡΑΦΗΜΑ 12'!$A$8</c:f>
              <c:strCache>
                <c:ptCount val="1"/>
                <c:pt idx="0">
                  <c:v>Κτιριακές εγκαταστάσεις και λοιπό εξοπλισμό</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12'!$B$8:$G$8</c:f>
              <c:numCache>
                <c:formatCode>0.0%</c:formatCode>
                <c:ptCount val="6"/>
                <c:pt idx="0">
                  <c:v>5.3221288515406161E-2</c:v>
                </c:pt>
                <c:pt idx="1">
                  <c:v>7.4626865671641784E-2</c:v>
                </c:pt>
                <c:pt idx="2">
                  <c:v>5.7971014492753624E-2</c:v>
                </c:pt>
                <c:pt idx="3">
                  <c:v>0.1111111111111111</c:v>
                </c:pt>
                <c:pt idx="4">
                  <c:v>0.15151515151515152</c:v>
                </c:pt>
                <c:pt idx="5">
                  <c:v>0.31428571428571428</c:v>
                </c:pt>
              </c:numCache>
            </c:numRef>
          </c:val>
          <c:extLst xmlns:c16r2="http://schemas.microsoft.com/office/drawing/2015/06/chart">
            <c:ext xmlns:c16="http://schemas.microsoft.com/office/drawing/2014/chart" uri="{C3380CC4-5D6E-409C-BE32-E72D297353CC}">
              <c16:uniqueId val="{00000003-CDC2-4E5D-A9A4-2A9AEC17964B}"/>
            </c:ext>
          </c:extLst>
        </c:ser>
        <c:ser>
          <c:idx val="3"/>
          <c:order val="3"/>
          <c:tx>
            <c:strRef>
              <c:f>'ΓΡΑΦΗΜΑ 12'!$A$9</c:f>
              <c:strCache>
                <c:ptCount val="1"/>
                <c:pt idx="0">
                  <c:v>Κατάρτιση – εκπαίδευση προσωπικού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12'!$B$5:$G$5</c:f>
              <c:strCache>
                <c:ptCount val="6"/>
                <c:pt idx="0">
                  <c:v>Κάτω από 50.000 €</c:v>
                </c:pt>
                <c:pt idx="1">
                  <c:v>50.000 - 100.000 €</c:v>
                </c:pt>
                <c:pt idx="2">
                  <c:v>100.001 - 300.000 €</c:v>
                </c:pt>
                <c:pt idx="3">
                  <c:v>300.001 - 500.000 €</c:v>
                </c:pt>
                <c:pt idx="4">
                  <c:v>500.001 - 1.000.000 €</c:v>
                </c:pt>
                <c:pt idx="5">
                  <c:v>Πάνω από 1.000.000 €</c:v>
                </c:pt>
              </c:strCache>
            </c:strRef>
          </c:cat>
          <c:val>
            <c:numRef>
              <c:f>'ΓΡΑΦΗΜΑ 12'!$B$9:$G$9</c:f>
              <c:numCache>
                <c:formatCode>0.0%</c:formatCode>
                <c:ptCount val="6"/>
                <c:pt idx="0">
                  <c:v>3.081232492997199E-2</c:v>
                </c:pt>
                <c:pt idx="1">
                  <c:v>4.4776119402985072E-2</c:v>
                </c:pt>
                <c:pt idx="2">
                  <c:v>7.9710144927536225E-2</c:v>
                </c:pt>
                <c:pt idx="3">
                  <c:v>2.7777777777777776E-2</c:v>
                </c:pt>
                <c:pt idx="4">
                  <c:v>0.15151515151515152</c:v>
                </c:pt>
                <c:pt idx="5">
                  <c:v>0.17142857142857143</c:v>
                </c:pt>
              </c:numCache>
            </c:numRef>
          </c:val>
          <c:extLst xmlns:c16r2="http://schemas.microsoft.com/office/drawing/2015/06/chart">
            <c:ext xmlns:c16="http://schemas.microsoft.com/office/drawing/2014/chart" uri="{C3380CC4-5D6E-409C-BE32-E72D297353CC}">
              <c16:uniqueId val="{00000004-CDC2-4E5D-A9A4-2A9AEC17964B}"/>
            </c:ext>
          </c:extLst>
        </c:ser>
        <c:dLbls>
          <c:showLegendKey val="0"/>
          <c:showVal val="0"/>
          <c:showCatName val="0"/>
          <c:showSerName val="0"/>
          <c:showPercent val="0"/>
          <c:showBubbleSize val="0"/>
        </c:dLbls>
        <c:gapWidth val="75"/>
        <c:axId val="266836224"/>
        <c:axId val="268566528"/>
      </c:barChart>
      <c:catAx>
        <c:axId val="266836224"/>
        <c:scaling>
          <c:orientation val="minMax"/>
        </c:scaling>
        <c:delete val="0"/>
        <c:axPos val="b"/>
        <c:numFmt formatCode="General" sourceLinked="0"/>
        <c:majorTickMark val="none"/>
        <c:minorTickMark val="none"/>
        <c:tickLblPos val="nextTo"/>
        <c:txPr>
          <a:bodyPr/>
          <a:lstStyle/>
          <a:p>
            <a:pPr>
              <a:defRPr sz="700" b="1"/>
            </a:pPr>
            <a:endParaRPr lang="el-GR"/>
          </a:p>
        </c:txPr>
        <c:crossAx val="268566528"/>
        <c:crosses val="autoZero"/>
        <c:auto val="1"/>
        <c:lblAlgn val="ctr"/>
        <c:lblOffset val="100"/>
        <c:noMultiLvlLbl val="0"/>
      </c:catAx>
      <c:valAx>
        <c:axId val="268566528"/>
        <c:scaling>
          <c:orientation val="minMax"/>
        </c:scaling>
        <c:delete val="0"/>
        <c:axPos val="l"/>
        <c:majorGridlines/>
        <c:numFmt formatCode="0.0%" sourceLinked="1"/>
        <c:majorTickMark val="none"/>
        <c:minorTickMark val="none"/>
        <c:tickLblPos val="nextTo"/>
        <c:spPr>
          <a:ln w="9525">
            <a:noFill/>
          </a:ln>
        </c:spPr>
        <c:crossAx val="266836224"/>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13 </a:t>
            </a:r>
          </a:p>
          <a:p>
            <a:pPr>
              <a:defRPr sz="1200"/>
            </a:pPr>
            <a:r>
              <a:rPr lang="el-GR" sz="1200"/>
              <a:t>Ύψος επένδυσης </a:t>
            </a:r>
          </a:p>
          <a:p>
            <a:pPr>
              <a:defRPr sz="1200"/>
            </a:pPr>
            <a:r>
              <a:rPr lang="el-GR" sz="800"/>
              <a:t>- Βάση όσοι πραγματοποίησαν επενδύσεις-</a:t>
            </a:r>
          </a:p>
        </c:rich>
      </c:tx>
      <c:overlay val="0"/>
    </c:title>
    <c:autoTitleDeleted val="0"/>
    <c:plotArea>
      <c:layout/>
      <c:barChart>
        <c:barDir val="col"/>
        <c:grouping val="clustered"/>
        <c:varyColors val="0"/>
        <c:ser>
          <c:idx val="0"/>
          <c:order val="0"/>
          <c:tx>
            <c:strRef>
              <c:f>'ΓΡΑΦΗΜΑ 13'!$B$6</c:f>
              <c:strCache>
                <c:ptCount val="1"/>
                <c:pt idx="0">
                  <c:v>Ύψος επένδυσης - Βάση όσοι πραγματοποίησαν επενδύσεις-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13'!$A$7:$A$14</c:f>
              <c:strCache>
                <c:ptCount val="8"/>
                <c:pt idx="0">
                  <c:v>Έως 2.000 €</c:v>
                </c:pt>
                <c:pt idx="1">
                  <c:v>2.001-4.000 €</c:v>
                </c:pt>
                <c:pt idx="2">
                  <c:v>4001-5.000 €</c:v>
                </c:pt>
                <c:pt idx="3">
                  <c:v>5.001-10.000 €</c:v>
                </c:pt>
                <c:pt idx="4">
                  <c:v>10.001-20.000 €</c:v>
                </c:pt>
                <c:pt idx="5">
                  <c:v>20.001-50.000 €</c:v>
                </c:pt>
                <c:pt idx="6">
                  <c:v>50.001-100.000 €</c:v>
                </c:pt>
                <c:pt idx="7">
                  <c:v>&gt;100.000 €</c:v>
                </c:pt>
              </c:strCache>
            </c:strRef>
          </c:cat>
          <c:val>
            <c:numRef>
              <c:f>'ΓΡΑΦΗΜΑ 13'!$B$7:$B$14</c:f>
              <c:numCache>
                <c:formatCode>0.0%</c:formatCode>
                <c:ptCount val="8"/>
                <c:pt idx="0">
                  <c:v>0.28033472803347281</c:v>
                </c:pt>
                <c:pt idx="1">
                  <c:v>0.11715481171548117</c:v>
                </c:pt>
                <c:pt idx="2">
                  <c:v>0.11297071129707113</c:v>
                </c:pt>
                <c:pt idx="3">
                  <c:v>0.12552301255230125</c:v>
                </c:pt>
                <c:pt idx="4">
                  <c:v>9.6234309623430964E-2</c:v>
                </c:pt>
                <c:pt idx="5">
                  <c:v>0.11297071129707113</c:v>
                </c:pt>
                <c:pt idx="6">
                  <c:v>2.5104602510460251E-2</c:v>
                </c:pt>
                <c:pt idx="7">
                  <c:v>5.8577405857740586E-2</c:v>
                </c:pt>
              </c:numCache>
            </c:numRef>
          </c:val>
          <c:extLst xmlns:c16r2="http://schemas.microsoft.com/office/drawing/2015/06/chart">
            <c:ext xmlns:c16="http://schemas.microsoft.com/office/drawing/2014/chart" uri="{C3380CC4-5D6E-409C-BE32-E72D297353CC}">
              <c16:uniqueId val="{00000000-B6B7-4A7D-BB78-31675E61F370}"/>
            </c:ext>
          </c:extLst>
        </c:ser>
        <c:dLbls>
          <c:showLegendKey val="0"/>
          <c:showVal val="0"/>
          <c:showCatName val="0"/>
          <c:showSerName val="0"/>
          <c:showPercent val="0"/>
          <c:showBubbleSize val="0"/>
        </c:dLbls>
        <c:gapWidth val="150"/>
        <c:axId val="268834304"/>
        <c:axId val="268835840"/>
      </c:barChart>
      <c:catAx>
        <c:axId val="268834304"/>
        <c:scaling>
          <c:orientation val="minMax"/>
        </c:scaling>
        <c:delete val="0"/>
        <c:axPos val="b"/>
        <c:numFmt formatCode="General" sourceLinked="0"/>
        <c:majorTickMark val="out"/>
        <c:minorTickMark val="none"/>
        <c:tickLblPos val="nextTo"/>
        <c:txPr>
          <a:bodyPr/>
          <a:lstStyle/>
          <a:p>
            <a:pPr>
              <a:defRPr sz="700" b="1"/>
            </a:pPr>
            <a:endParaRPr lang="el-GR"/>
          </a:p>
        </c:txPr>
        <c:crossAx val="268835840"/>
        <c:crosses val="autoZero"/>
        <c:auto val="1"/>
        <c:lblAlgn val="ctr"/>
        <c:lblOffset val="100"/>
        <c:noMultiLvlLbl val="0"/>
      </c:catAx>
      <c:valAx>
        <c:axId val="268835840"/>
        <c:scaling>
          <c:orientation val="minMax"/>
        </c:scaling>
        <c:delete val="0"/>
        <c:axPos val="l"/>
        <c:majorGridlines/>
        <c:numFmt formatCode="0.0%" sourceLinked="1"/>
        <c:majorTickMark val="out"/>
        <c:minorTickMark val="none"/>
        <c:tickLblPos val="nextTo"/>
        <c:crossAx val="26883430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14 </a:t>
            </a:r>
          </a:p>
          <a:p>
            <a:pPr>
              <a:defRPr sz="1200"/>
            </a:pPr>
            <a:r>
              <a:rPr lang="el-GR" sz="1200"/>
              <a:t>Πηγές χρηματοδότησης επενδύσεων πρώτου εξαμήνου 2022 </a:t>
            </a:r>
          </a:p>
          <a:p>
            <a:pPr>
              <a:defRPr sz="1200"/>
            </a:pPr>
            <a:r>
              <a:rPr lang="el-GR" sz="800"/>
              <a:t>- Βάση: Όσοι πραγματοποίησαν επενδύσεις -</a:t>
            </a:r>
          </a:p>
        </c:rich>
      </c:tx>
      <c:overlay val="0"/>
    </c:title>
    <c:autoTitleDeleted val="0"/>
    <c:plotArea>
      <c:layout/>
      <c:barChart>
        <c:barDir val="bar"/>
        <c:grouping val="clustered"/>
        <c:varyColors val="0"/>
        <c:ser>
          <c:idx val="0"/>
          <c:order val="0"/>
          <c:tx>
            <c:strRef>
              <c:f>'ΓΡΑΦΗΜΑ 14'!$B$2</c:f>
              <c:strCache>
                <c:ptCount val="1"/>
                <c:pt idx="0">
                  <c:v>Πηγές χρηματοδότησης επενδύσεων πρώτου εξαμήνου 2022 - Βάση: Όσοι πραγματοποίησαν επενδύσεις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14'!$A$3:$A$7</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 (πχ δανεισμός από φίλους/οικογένεια)</c:v>
                </c:pt>
              </c:strCache>
            </c:strRef>
          </c:cat>
          <c:val>
            <c:numRef>
              <c:f>'ΓΡΑΦΗΜΑ 14'!$B$3:$B$7</c:f>
              <c:numCache>
                <c:formatCode>0.0%</c:formatCode>
                <c:ptCount val="5"/>
                <c:pt idx="0">
                  <c:v>0.8125</c:v>
                </c:pt>
                <c:pt idx="1">
                  <c:v>9.583333333333334E-2</c:v>
                </c:pt>
                <c:pt idx="2">
                  <c:v>3.7499999999999999E-2</c:v>
                </c:pt>
                <c:pt idx="3">
                  <c:v>1.6666666666666666E-2</c:v>
                </c:pt>
                <c:pt idx="4">
                  <c:v>2.5000000000000001E-2</c:v>
                </c:pt>
              </c:numCache>
            </c:numRef>
          </c:val>
          <c:extLst xmlns:c16r2="http://schemas.microsoft.com/office/drawing/2015/06/chart">
            <c:ext xmlns:c16="http://schemas.microsoft.com/office/drawing/2014/chart" uri="{C3380CC4-5D6E-409C-BE32-E72D297353CC}">
              <c16:uniqueId val="{00000000-1B20-447B-8A9A-BA3FA8A4FF2D}"/>
            </c:ext>
          </c:extLst>
        </c:ser>
        <c:dLbls>
          <c:showLegendKey val="0"/>
          <c:showVal val="0"/>
          <c:showCatName val="0"/>
          <c:showSerName val="0"/>
          <c:showPercent val="0"/>
          <c:showBubbleSize val="0"/>
        </c:dLbls>
        <c:gapWidth val="150"/>
        <c:axId val="270151680"/>
        <c:axId val="270153216"/>
      </c:barChart>
      <c:catAx>
        <c:axId val="270151680"/>
        <c:scaling>
          <c:orientation val="maxMin"/>
        </c:scaling>
        <c:delete val="0"/>
        <c:axPos val="l"/>
        <c:numFmt formatCode="General" sourceLinked="0"/>
        <c:majorTickMark val="out"/>
        <c:minorTickMark val="none"/>
        <c:tickLblPos val="nextTo"/>
        <c:crossAx val="270153216"/>
        <c:crosses val="autoZero"/>
        <c:auto val="1"/>
        <c:lblAlgn val="ctr"/>
        <c:lblOffset val="100"/>
        <c:noMultiLvlLbl val="0"/>
      </c:catAx>
      <c:valAx>
        <c:axId val="270153216"/>
        <c:scaling>
          <c:orientation val="minMax"/>
        </c:scaling>
        <c:delete val="1"/>
        <c:axPos val="t"/>
        <c:majorGridlines/>
        <c:numFmt formatCode="0.0%" sourceLinked="1"/>
        <c:majorTickMark val="out"/>
        <c:minorTickMark val="none"/>
        <c:tickLblPos val="nextTo"/>
        <c:crossAx val="27015168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15 </a:t>
            </a:r>
          </a:p>
          <a:p>
            <a:pPr>
              <a:defRPr/>
            </a:pPr>
            <a:r>
              <a:rPr lang="el-GR" sz="1200"/>
              <a:t>Πηγή χρηματοδότησης επενδύσεων σε σχέση με τον κλάδο</a:t>
            </a:r>
          </a:p>
          <a:p>
            <a:pPr>
              <a:defRPr/>
            </a:pPr>
            <a:r>
              <a:rPr lang="el-GR" sz="800"/>
              <a:t>-Βαση όσοι πραγματοποίησαν επενδύσεις-</a:t>
            </a:r>
          </a:p>
        </c:rich>
      </c:tx>
      <c:overlay val="0"/>
    </c:title>
    <c:autoTitleDeleted val="0"/>
    <c:plotArea>
      <c:layout/>
      <c:barChart>
        <c:barDir val="col"/>
        <c:grouping val="clustered"/>
        <c:varyColors val="0"/>
        <c:ser>
          <c:idx val="0"/>
          <c:order val="0"/>
          <c:tx>
            <c:strRef>
              <c:f>'ΓΡΑΦΗΜΑ 15'!$A$5</c:f>
              <c:strCache>
                <c:ptCount val="1"/>
                <c:pt idx="0">
                  <c:v>Ίδια κεφάλαια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15'!$B$4:$D$4</c:f>
              <c:strCache>
                <c:ptCount val="3"/>
                <c:pt idx="0">
                  <c:v>Εμπόριο</c:v>
                </c:pt>
                <c:pt idx="1">
                  <c:v>Μεταποίηση</c:v>
                </c:pt>
                <c:pt idx="2">
                  <c:v>Υπηρεσίες</c:v>
                </c:pt>
              </c:strCache>
            </c:strRef>
          </c:cat>
          <c:val>
            <c:numRef>
              <c:f>'ΓΡΑΦΗΜΑ 15'!$B$5:$D$5</c:f>
              <c:numCache>
                <c:formatCode>0.0%</c:formatCode>
                <c:ptCount val="3"/>
                <c:pt idx="0">
                  <c:v>0.78260869565217395</c:v>
                </c:pt>
                <c:pt idx="1">
                  <c:v>0.78048780487804881</c:v>
                </c:pt>
                <c:pt idx="2">
                  <c:v>0.85046728971962615</c:v>
                </c:pt>
              </c:numCache>
            </c:numRef>
          </c:val>
          <c:extLst xmlns:c16r2="http://schemas.microsoft.com/office/drawing/2015/06/chart">
            <c:ext xmlns:c16="http://schemas.microsoft.com/office/drawing/2014/chart" uri="{C3380CC4-5D6E-409C-BE32-E72D297353CC}">
              <c16:uniqueId val="{00000000-552F-4555-9F4C-BA9497D0A37E}"/>
            </c:ext>
          </c:extLst>
        </c:ser>
        <c:ser>
          <c:idx val="1"/>
          <c:order val="1"/>
          <c:tx>
            <c:strRef>
              <c:f>'ΓΡΑΦΗΜΑ 15'!$A$6</c:f>
              <c:strCache>
                <c:ptCount val="1"/>
                <c:pt idx="0">
                  <c:v>Προγράμματα χρηματοδότησης (π.χ. ΕΣΠΑ)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15'!$B$4:$D$4</c:f>
              <c:strCache>
                <c:ptCount val="3"/>
                <c:pt idx="0">
                  <c:v>Εμπόριο</c:v>
                </c:pt>
                <c:pt idx="1">
                  <c:v>Μεταποίηση</c:v>
                </c:pt>
                <c:pt idx="2">
                  <c:v>Υπηρεσίες</c:v>
                </c:pt>
              </c:strCache>
            </c:strRef>
          </c:cat>
          <c:val>
            <c:numRef>
              <c:f>'ΓΡΑΦΗΜΑ 15'!$B$6:$D$6</c:f>
              <c:numCache>
                <c:formatCode>0.0%</c:formatCode>
                <c:ptCount val="3"/>
                <c:pt idx="0">
                  <c:v>0.11956521739130435</c:v>
                </c:pt>
                <c:pt idx="1">
                  <c:v>0.12195121951219512</c:v>
                </c:pt>
                <c:pt idx="2">
                  <c:v>6.5420560747663545E-2</c:v>
                </c:pt>
              </c:numCache>
            </c:numRef>
          </c:val>
          <c:extLst xmlns:c16r2="http://schemas.microsoft.com/office/drawing/2015/06/chart">
            <c:ext xmlns:c16="http://schemas.microsoft.com/office/drawing/2014/chart" uri="{C3380CC4-5D6E-409C-BE32-E72D297353CC}">
              <c16:uniqueId val="{00000001-552F-4555-9F4C-BA9497D0A37E}"/>
            </c:ext>
          </c:extLst>
        </c:ser>
        <c:ser>
          <c:idx val="2"/>
          <c:order val="2"/>
          <c:tx>
            <c:strRef>
              <c:f>'ΓΡΑΦΗΜΑ 15'!$A$7</c:f>
              <c:strCache>
                <c:ptCount val="1"/>
                <c:pt idx="0">
                  <c:v>Τραπεζικός δανεισμός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15'!$B$4:$D$4</c:f>
              <c:strCache>
                <c:ptCount val="3"/>
                <c:pt idx="0">
                  <c:v>Εμπόριο</c:v>
                </c:pt>
                <c:pt idx="1">
                  <c:v>Μεταποίηση</c:v>
                </c:pt>
                <c:pt idx="2">
                  <c:v>Υπηρεσίες</c:v>
                </c:pt>
              </c:strCache>
            </c:strRef>
          </c:cat>
          <c:val>
            <c:numRef>
              <c:f>'ΓΡΑΦΗΜΑ 15'!$B$7:$D$7</c:f>
              <c:numCache>
                <c:formatCode>0.0%</c:formatCode>
                <c:ptCount val="3"/>
                <c:pt idx="0">
                  <c:v>3.2608695652173912E-2</c:v>
                </c:pt>
                <c:pt idx="1">
                  <c:v>7.3170731707317069E-2</c:v>
                </c:pt>
                <c:pt idx="2">
                  <c:v>2.8037383177570093E-2</c:v>
                </c:pt>
              </c:numCache>
            </c:numRef>
          </c:val>
          <c:extLst xmlns:c16r2="http://schemas.microsoft.com/office/drawing/2015/06/chart">
            <c:ext xmlns:c16="http://schemas.microsoft.com/office/drawing/2014/chart" uri="{C3380CC4-5D6E-409C-BE32-E72D297353CC}">
              <c16:uniqueId val="{00000002-552F-4555-9F4C-BA9497D0A37E}"/>
            </c:ext>
          </c:extLst>
        </c:ser>
        <c:dLbls>
          <c:showLegendKey val="0"/>
          <c:showVal val="0"/>
          <c:showCatName val="0"/>
          <c:showSerName val="0"/>
          <c:showPercent val="0"/>
          <c:showBubbleSize val="0"/>
        </c:dLbls>
        <c:gapWidth val="75"/>
        <c:axId val="282548096"/>
        <c:axId val="282549632"/>
      </c:barChart>
      <c:catAx>
        <c:axId val="282548096"/>
        <c:scaling>
          <c:orientation val="minMax"/>
        </c:scaling>
        <c:delete val="0"/>
        <c:axPos val="b"/>
        <c:numFmt formatCode="General" sourceLinked="0"/>
        <c:majorTickMark val="none"/>
        <c:minorTickMark val="none"/>
        <c:tickLblPos val="nextTo"/>
        <c:crossAx val="282549632"/>
        <c:crosses val="autoZero"/>
        <c:auto val="1"/>
        <c:lblAlgn val="ctr"/>
        <c:lblOffset val="100"/>
        <c:noMultiLvlLbl val="0"/>
      </c:catAx>
      <c:valAx>
        <c:axId val="282549632"/>
        <c:scaling>
          <c:orientation val="minMax"/>
        </c:scaling>
        <c:delete val="0"/>
        <c:axPos val="l"/>
        <c:majorGridlines/>
        <c:numFmt formatCode="0.0%" sourceLinked="1"/>
        <c:majorTickMark val="none"/>
        <c:minorTickMark val="none"/>
        <c:tickLblPos val="nextTo"/>
        <c:spPr>
          <a:ln w="9525">
            <a:noFill/>
          </a:ln>
        </c:spPr>
        <c:crossAx val="282548096"/>
        <c:crosses val="autoZero"/>
        <c:crossBetween val="between"/>
      </c:valAx>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a:t>
            </a:r>
            <a:r>
              <a:rPr lang="en-US" sz="1200" baseline="0"/>
              <a:t>16</a:t>
            </a:r>
            <a:endParaRPr lang="el-GR" sz="1200" baseline="0"/>
          </a:p>
          <a:p>
            <a:pPr>
              <a:defRPr/>
            </a:pPr>
            <a:r>
              <a:rPr lang="el-GR" sz="1200" baseline="0"/>
              <a:t>Τιμές πώλησης αγαθών/υπηρεσίων (ποσοστά επιχειρήσεων)  </a:t>
            </a:r>
          </a:p>
          <a:p>
            <a:pPr>
              <a:defRPr/>
            </a:pPr>
            <a:r>
              <a:rPr lang="el-GR" sz="1200" baseline="0"/>
              <a:t>Αποτίμηση εξαμήνου - Συγκριτικό Γράφημα</a:t>
            </a:r>
          </a:p>
        </c:rich>
      </c:tx>
      <c:layout>
        <c:manualLayout>
          <c:xMode val="edge"/>
          <c:yMode val="edge"/>
          <c:x val="0.1950224504355908"/>
          <c:y val="3.1554950815284068E-2"/>
        </c:manualLayout>
      </c:layout>
      <c:overlay val="0"/>
    </c:title>
    <c:autoTitleDeleted val="0"/>
    <c:plotArea>
      <c:layout/>
      <c:barChart>
        <c:barDir val="col"/>
        <c:grouping val="percentStacked"/>
        <c:varyColors val="0"/>
        <c:ser>
          <c:idx val="0"/>
          <c:order val="0"/>
          <c:tx>
            <c:strRef>
              <c:f>'ΓΡΑΦΗΜΑ 16'!$B$1</c:f>
              <c:strCache>
                <c:ptCount val="1"/>
                <c:pt idx="0">
                  <c:v>Αυξήθηκαν</c:v>
                </c:pt>
              </c:strCache>
            </c:strRef>
          </c:tx>
          <c:spPr>
            <a:solidFill>
              <a:srgbClr val="C00000"/>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16'!$A$2:$A$7</c:f>
              <c:strCache>
                <c:ptCount val="6"/>
                <c:pt idx="0">
                  <c:v>B 2019</c:v>
                </c:pt>
                <c:pt idx="1">
                  <c:v>A 2020</c:v>
                </c:pt>
                <c:pt idx="2">
                  <c:v>B 2020</c:v>
                </c:pt>
                <c:pt idx="3">
                  <c:v>A 2021</c:v>
                </c:pt>
                <c:pt idx="4">
                  <c:v>B 2021</c:v>
                </c:pt>
                <c:pt idx="5">
                  <c:v>Α 2022</c:v>
                </c:pt>
              </c:strCache>
            </c:strRef>
          </c:cat>
          <c:val>
            <c:numRef>
              <c:f>'ΓΡΑΦΗΜΑ 16'!$B$2:$B$7</c:f>
              <c:numCache>
                <c:formatCode>0.0</c:formatCode>
                <c:ptCount val="6"/>
                <c:pt idx="0">
                  <c:v>8.1999999999999993</c:v>
                </c:pt>
                <c:pt idx="1">
                  <c:v>4.5</c:v>
                </c:pt>
                <c:pt idx="2">
                  <c:v>6.6</c:v>
                </c:pt>
                <c:pt idx="3">
                  <c:v>23.6</c:v>
                </c:pt>
                <c:pt idx="4">
                  <c:v>34.799999999999997</c:v>
                </c:pt>
                <c:pt idx="5">
                  <c:v>59.18</c:v>
                </c:pt>
              </c:numCache>
            </c:numRef>
          </c:val>
          <c:extLst xmlns:c16r2="http://schemas.microsoft.com/office/drawing/2015/06/chart">
            <c:ext xmlns:c16="http://schemas.microsoft.com/office/drawing/2014/chart" uri="{C3380CC4-5D6E-409C-BE32-E72D297353CC}">
              <c16:uniqueId val="{00000000-8214-4CE8-80A8-ECC8A9FCE8F6}"/>
            </c:ext>
          </c:extLst>
        </c:ser>
        <c:ser>
          <c:idx val="1"/>
          <c:order val="1"/>
          <c:tx>
            <c:strRef>
              <c:f>'ΓΡΑΦΗΜΑ 16'!$C$1</c:f>
              <c:strCache>
                <c:ptCount val="1"/>
                <c:pt idx="0">
                  <c:v>Μειώθηκαν</c:v>
                </c:pt>
              </c:strCache>
            </c:strRef>
          </c:tx>
          <c:spPr>
            <a:solidFill>
              <a:schemeClr val="tx2">
                <a:lumMod val="60000"/>
                <a:lumOff val="40000"/>
              </a:schemeClr>
            </a:solidFill>
            <a:ln>
              <a:solidFill>
                <a:schemeClr val="tx2"/>
              </a:solidFill>
            </a:ln>
          </c:spPr>
          <c:invertIfNegative val="0"/>
          <c:dLbls>
            <c:dLbl>
              <c:idx val="3"/>
              <c:layout>
                <c:manualLayout>
                  <c:x val="-3.4970817583714973E-2"/>
                  <c:y val="3.1932779235928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14-4CE8-80A8-ECC8A9FCE8F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16'!$A$2:$A$7</c:f>
              <c:strCache>
                <c:ptCount val="6"/>
                <c:pt idx="0">
                  <c:v>B 2019</c:v>
                </c:pt>
                <c:pt idx="1">
                  <c:v>A 2020</c:v>
                </c:pt>
                <c:pt idx="2">
                  <c:v>B 2020</c:v>
                </c:pt>
                <c:pt idx="3">
                  <c:v>A 2021</c:v>
                </c:pt>
                <c:pt idx="4">
                  <c:v>B 2021</c:v>
                </c:pt>
                <c:pt idx="5">
                  <c:v>Α 2022</c:v>
                </c:pt>
              </c:strCache>
            </c:strRef>
          </c:cat>
          <c:val>
            <c:numRef>
              <c:f>'ΓΡΑΦΗΜΑ 16'!$C$2:$C$7</c:f>
              <c:numCache>
                <c:formatCode>0.0</c:formatCode>
                <c:ptCount val="6"/>
                <c:pt idx="0">
                  <c:v>20.100000000000001</c:v>
                </c:pt>
                <c:pt idx="1">
                  <c:v>35.200000000000003</c:v>
                </c:pt>
                <c:pt idx="2">
                  <c:v>31.3</c:v>
                </c:pt>
                <c:pt idx="3">
                  <c:v>16.7</c:v>
                </c:pt>
                <c:pt idx="4">
                  <c:v>9.4</c:v>
                </c:pt>
                <c:pt idx="5">
                  <c:v>7.24</c:v>
                </c:pt>
              </c:numCache>
            </c:numRef>
          </c:val>
          <c:extLst xmlns:c16r2="http://schemas.microsoft.com/office/drawing/2015/06/chart">
            <c:ext xmlns:c16="http://schemas.microsoft.com/office/drawing/2014/chart" uri="{C3380CC4-5D6E-409C-BE32-E72D297353CC}">
              <c16:uniqueId val="{00000002-8214-4CE8-80A8-ECC8A9FCE8F6}"/>
            </c:ext>
          </c:extLst>
        </c:ser>
        <c:ser>
          <c:idx val="2"/>
          <c:order val="2"/>
          <c:tx>
            <c:strRef>
              <c:f>'ΓΡΑΦΗΜΑ 16'!$D$1</c:f>
              <c:strCache>
                <c:ptCount val="1"/>
                <c:pt idx="0">
                  <c:v>Αμετάβλητες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16'!$A$2:$A$7</c:f>
              <c:strCache>
                <c:ptCount val="6"/>
                <c:pt idx="0">
                  <c:v>B 2019</c:v>
                </c:pt>
                <c:pt idx="1">
                  <c:v>A 2020</c:v>
                </c:pt>
                <c:pt idx="2">
                  <c:v>B 2020</c:v>
                </c:pt>
                <c:pt idx="3">
                  <c:v>A 2021</c:v>
                </c:pt>
                <c:pt idx="4">
                  <c:v>B 2021</c:v>
                </c:pt>
                <c:pt idx="5">
                  <c:v>Α 2022</c:v>
                </c:pt>
              </c:strCache>
            </c:strRef>
          </c:cat>
          <c:val>
            <c:numRef>
              <c:f>'ΓΡΑΦΗΜΑ 16'!$D$2:$D$7</c:f>
              <c:numCache>
                <c:formatCode>0.0</c:formatCode>
                <c:ptCount val="6"/>
                <c:pt idx="0">
                  <c:v>70.8</c:v>
                </c:pt>
                <c:pt idx="1">
                  <c:v>58.9</c:v>
                </c:pt>
                <c:pt idx="2">
                  <c:v>61.7</c:v>
                </c:pt>
                <c:pt idx="3">
                  <c:v>58.3</c:v>
                </c:pt>
                <c:pt idx="4">
                  <c:v>55.6</c:v>
                </c:pt>
                <c:pt idx="5">
                  <c:v>32.71</c:v>
                </c:pt>
              </c:numCache>
            </c:numRef>
          </c:val>
          <c:extLst xmlns:c16r2="http://schemas.microsoft.com/office/drawing/2015/06/chart">
            <c:ext xmlns:c16="http://schemas.microsoft.com/office/drawing/2014/chart" uri="{C3380CC4-5D6E-409C-BE32-E72D297353CC}">
              <c16:uniqueId val="{00000003-8214-4CE8-80A8-ECC8A9FCE8F6}"/>
            </c:ext>
          </c:extLst>
        </c:ser>
        <c:ser>
          <c:idx val="3"/>
          <c:order val="3"/>
          <c:tx>
            <c:strRef>
              <c:f>'ΓΡΑΦΗΜΑ 16'!$E$1</c:f>
              <c:strCache>
                <c:ptCount val="1"/>
                <c:pt idx="0">
                  <c:v>ΔΑ</c:v>
                </c:pt>
              </c:strCache>
            </c:strRef>
          </c:tx>
          <c:invertIfNegative val="0"/>
          <c:cat>
            <c:strRef>
              <c:f>'ΓΡΑΦΗΜΑ 16'!$A$2:$A$7</c:f>
              <c:strCache>
                <c:ptCount val="6"/>
                <c:pt idx="0">
                  <c:v>B 2019</c:v>
                </c:pt>
                <c:pt idx="1">
                  <c:v>A 2020</c:v>
                </c:pt>
                <c:pt idx="2">
                  <c:v>B 2020</c:v>
                </c:pt>
                <c:pt idx="3">
                  <c:v>A 2021</c:v>
                </c:pt>
                <c:pt idx="4">
                  <c:v>B 2021</c:v>
                </c:pt>
                <c:pt idx="5">
                  <c:v>Α 2022</c:v>
                </c:pt>
              </c:strCache>
            </c:strRef>
          </c:cat>
          <c:val>
            <c:numRef>
              <c:f>'ΓΡΑΦΗΜΑ 16'!$E$2:$E$7</c:f>
              <c:numCache>
                <c:formatCode>0.0</c:formatCode>
                <c:ptCount val="6"/>
                <c:pt idx="0">
                  <c:v>0.90000000000000568</c:v>
                </c:pt>
                <c:pt idx="1">
                  <c:v>1.4000000000000057</c:v>
                </c:pt>
                <c:pt idx="2">
                  <c:v>0.40000000000000568</c:v>
                </c:pt>
                <c:pt idx="3">
                  <c:v>1.4000000000000057</c:v>
                </c:pt>
                <c:pt idx="4">
                  <c:v>0.20000000000000284</c:v>
                </c:pt>
                <c:pt idx="5">
                  <c:v>0.87000000000000455</c:v>
                </c:pt>
              </c:numCache>
            </c:numRef>
          </c:val>
          <c:extLst xmlns:c16r2="http://schemas.microsoft.com/office/drawing/2015/06/chart">
            <c:ext xmlns:c16="http://schemas.microsoft.com/office/drawing/2014/chart" uri="{C3380CC4-5D6E-409C-BE32-E72D297353CC}">
              <c16:uniqueId val="{00000004-8214-4CE8-80A8-ECC8A9FCE8F6}"/>
            </c:ext>
          </c:extLst>
        </c:ser>
        <c:dLbls>
          <c:showLegendKey val="0"/>
          <c:showVal val="0"/>
          <c:showCatName val="0"/>
          <c:showSerName val="0"/>
          <c:showPercent val="0"/>
          <c:showBubbleSize val="0"/>
        </c:dLbls>
        <c:gapWidth val="150"/>
        <c:overlap val="100"/>
        <c:axId val="293230464"/>
        <c:axId val="293232000"/>
      </c:barChart>
      <c:catAx>
        <c:axId val="293230464"/>
        <c:scaling>
          <c:orientation val="minMax"/>
        </c:scaling>
        <c:delete val="0"/>
        <c:axPos val="b"/>
        <c:numFmt formatCode="General" sourceLinked="0"/>
        <c:majorTickMark val="out"/>
        <c:minorTickMark val="none"/>
        <c:tickLblPos val="nextTo"/>
        <c:crossAx val="293232000"/>
        <c:crosses val="autoZero"/>
        <c:auto val="1"/>
        <c:lblAlgn val="ctr"/>
        <c:lblOffset val="100"/>
        <c:noMultiLvlLbl val="0"/>
      </c:catAx>
      <c:valAx>
        <c:axId val="293232000"/>
        <c:scaling>
          <c:orientation val="minMax"/>
        </c:scaling>
        <c:delete val="1"/>
        <c:axPos val="l"/>
        <c:majorGridlines/>
        <c:numFmt formatCode="0%" sourceLinked="1"/>
        <c:majorTickMark val="out"/>
        <c:minorTickMark val="none"/>
        <c:tickLblPos val="nextTo"/>
        <c:crossAx val="293230464"/>
        <c:crosses val="autoZero"/>
        <c:crossBetween val="between"/>
      </c:valAx>
    </c:plotArea>
    <c:legend>
      <c:legendPos val="l"/>
      <c:layout>
        <c:manualLayout>
          <c:xMode val="edge"/>
          <c:yMode val="edge"/>
          <c:x val="1.2468827930174564E-2"/>
          <c:y val="0.2369238547731109"/>
          <c:w val="0.14591539523893679"/>
          <c:h val="0.58639750767697951"/>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17</a:t>
            </a:r>
          </a:p>
          <a:p>
            <a:pPr>
              <a:defRPr sz="1200"/>
            </a:pPr>
            <a:r>
              <a:rPr lang="el-GR" sz="1200"/>
              <a:t>Το πρώτο εξάμηνο του 2022 το κόστος ενέργειας της επιχείρησή σας:</a:t>
            </a:r>
          </a:p>
        </c:rich>
      </c:tx>
      <c:overlay val="0"/>
    </c:title>
    <c:autoTitleDeleted val="0"/>
    <c:plotArea>
      <c:layout/>
      <c:barChart>
        <c:barDir val="bar"/>
        <c:grouping val="clustered"/>
        <c:varyColors val="0"/>
        <c:ser>
          <c:idx val="0"/>
          <c:order val="0"/>
          <c:tx>
            <c:strRef>
              <c:f>'ΓΡΑΦΗΜΑ 17'!$B$4</c:f>
              <c:strCache>
                <c:ptCount val="1"/>
                <c:pt idx="0">
                  <c:v>Το πρώτο εξάμηνο του 2022 το κοστος ενέργειας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17'!$A$5:$A$12</c:f>
              <c:strCache>
                <c:ptCount val="8"/>
                <c:pt idx="0">
                  <c:v>Αυξήθηκε εως 20%</c:v>
                </c:pt>
                <c:pt idx="1">
                  <c:v>Αυξήθηκε 21-30%</c:v>
                </c:pt>
                <c:pt idx="2">
                  <c:v>Αυξήθηκε 31-40%</c:v>
                </c:pt>
                <c:pt idx="3">
                  <c:v>Αυξήθηκε 41-60%</c:v>
                </c:pt>
                <c:pt idx="4">
                  <c:v>Αυξήθηκε 61-80%</c:v>
                </c:pt>
                <c:pt idx="5">
                  <c:v>Αυξήθηκε πάνω από 80%</c:v>
                </c:pt>
                <c:pt idx="6">
                  <c:v>Δεν αυξήθηκε </c:v>
                </c:pt>
                <c:pt idx="7">
                  <c:v>ΔΑ</c:v>
                </c:pt>
              </c:strCache>
            </c:strRef>
          </c:cat>
          <c:val>
            <c:numRef>
              <c:f>'ΓΡΑΦΗΜΑ 17'!$B$5:$B$12</c:f>
              <c:numCache>
                <c:formatCode>0.0%</c:formatCode>
                <c:ptCount val="8"/>
                <c:pt idx="0">
                  <c:v>0.13233458177278401</c:v>
                </c:pt>
                <c:pt idx="1">
                  <c:v>0.15479999999999999</c:v>
                </c:pt>
                <c:pt idx="2">
                  <c:v>0.1061</c:v>
                </c:pt>
                <c:pt idx="3">
                  <c:v>0.14357053682896381</c:v>
                </c:pt>
                <c:pt idx="4">
                  <c:v>6.6199999999999995E-2</c:v>
                </c:pt>
                <c:pt idx="5">
                  <c:v>0.26840000000000003</c:v>
                </c:pt>
                <c:pt idx="6">
                  <c:v>4.6192259675405745E-2</c:v>
                </c:pt>
                <c:pt idx="7">
                  <c:v>8.2397003745318345E-2</c:v>
                </c:pt>
              </c:numCache>
            </c:numRef>
          </c:val>
          <c:extLst xmlns:c16r2="http://schemas.microsoft.com/office/drawing/2015/06/chart">
            <c:ext xmlns:c16="http://schemas.microsoft.com/office/drawing/2014/chart" uri="{C3380CC4-5D6E-409C-BE32-E72D297353CC}">
              <c16:uniqueId val="{00000000-504F-46C8-B9E1-470F87FC6976}"/>
            </c:ext>
          </c:extLst>
        </c:ser>
        <c:dLbls>
          <c:showLegendKey val="0"/>
          <c:showVal val="0"/>
          <c:showCatName val="0"/>
          <c:showSerName val="0"/>
          <c:showPercent val="0"/>
          <c:showBubbleSize val="0"/>
        </c:dLbls>
        <c:gapWidth val="150"/>
        <c:axId val="293434496"/>
        <c:axId val="293436032"/>
      </c:barChart>
      <c:catAx>
        <c:axId val="293434496"/>
        <c:scaling>
          <c:orientation val="maxMin"/>
        </c:scaling>
        <c:delete val="0"/>
        <c:axPos val="l"/>
        <c:numFmt formatCode="General" sourceLinked="0"/>
        <c:majorTickMark val="out"/>
        <c:minorTickMark val="none"/>
        <c:tickLblPos val="nextTo"/>
        <c:crossAx val="293436032"/>
        <c:crosses val="autoZero"/>
        <c:auto val="1"/>
        <c:lblAlgn val="ctr"/>
        <c:lblOffset val="100"/>
        <c:noMultiLvlLbl val="0"/>
      </c:catAx>
      <c:valAx>
        <c:axId val="293436032"/>
        <c:scaling>
          <c:orientation val="minMax"/>
        </c:scaling>
        <c:delete val="1"/>
        <c:axPos val="t"/>
        <c:numFmt formatCode="0.0%" sourceLinked="1"/>
        <c:majorTickMark val="out"/>
        <c:minorTickMark val="none"/>
        <c:tickLblPos val="nextTo"/>
        <c:crossAx val="293434496"/>
        <c:crosses val="autoZero"/>
        <c:crossBetween val="between"/>
      </c:valAx>
    </c:plotArea>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18</a:t>
            </a:r>
          </a:p>
          <a:p>
            <a:pPr>
              <a:defRPr sz="1200"/>
            </a:pPr>
            <a:r>
              <a:rPr lang="el-GR" sz="1200"/>
              <a:t>Το πρώτο εξάμηνο του 2022 το κόστος εμπορευμάτων/πρώτων</a:t>
            </a:r>
            <a:r>
              <a:rPr lang="el-GR" sz="1200" baseline="0"/>
              <a:t> υλών</a:t>
            </a:r>
            <a:r>
              <a:rPr lang="el-GR" sz="1200"/>
              <a:t> της επιχείρησή σας:</a:t>
            </a:r>
          </a:p>
        </c:rich>
      </c:tx>
      <c:overlay val="0"/>
    </c:title>
    <c:autoTitleDeleted val="0"/>
    <c:plotArea>
      <c:layout/>
      <c:barChart>
        <c:barDir val="bar"/>
        <c:grouping val="clustered"/>
        <c:varyColors val="0"/>
        <c:ser>
          <c:idx val="0"/>
          <c:order val="0"/>
          <c:tx>
            <c:strRef>
              <c:f>'ΓΡΑΦΗΜΑ 18'!$B$4</c:f>
              <c:strCache>
                <c:ptCount val="1"/>
                <c:pt idx="0">
                  <c:v>Το πρώτο εξάμηνο του 2022 το κοστος εμπορευμάτων/πρώτων υλών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18'!$A$5:$A$11</c:f>
              <c:strCache>
                <c:ptCount val="7"/>
                <c:pt idx="0">
                  <c:v>Αυξήθηκε εως 20%</c:v>
                </c:pt>
                <c:pt idx="1">
                  <c:v>Αυξήθηκε 21-40%</c:v>
                </c:pt>
                <c:pt idx="2">
                  <c:v>Αυξήθηκε 41-60%</c:v>
                </c:pt>
                <c:pt idx="3">
                  <c:v>Αυξήθηκε πάνω από 60%</c:v>
                </c:pt>
                <c:pt idx="4">
                  <c:v>Δεν αυξήθηκε </c:v>
                </c:pt>
                <c:pt idx="5">
                  <c:v>Δεν έχω τέτοιο κόστος</c:v>
                </c:pt>
                <c:pt idx="6">
                  <c:v>ΔΑ</c:v>
                </c:pt>
              </c:strCache>
            </c:strRef>
          </c:cat>
          <c:val>
            <c:numRef>
              <c:f>'ΓΡΑΦΗΜΑ 18'!$B$5:$B$11</c:f>
              <c:numCache>
                <c:formatCode>0.0%</c:formatCode>
                <c:ptCount val="7"/>
                <c:pt idx="0">
                  <c:v>0.26466916354556802</c:v>
                </c:pt>
                <c:pt idx="1">
                  <c:v>0.33208489388264667</c:v>
                </c:pt>
                <c:pt idx="2">
                  <c:v>0.12109862671660425</c:v>
                </c:pt>
                <c:pt idx="3">
                  <c:v>0.14232209737827717</c:v>
                </c:pt>
                <c:pt idx="4">
                  <c:v>4.1198501872659173E-2</c:v>
                </c:pt>
                <c:pt idx="5">
                  <c:v>5.3682896379525592E-2</c:v>
                </c:pt>
                <c:pt idx="6">
                  <c:v>4.49438202247191E-2</c:v>
                </c:pt>
              </c:numCache>
            </c:numRef>
          </c:val>
          <c:extLst xmlns:c16r2="http://schemas.microsoft.com/office/drawing/2015/06/chart">
            <c:ext xmlns:c16="http://schemas.microsoft.com/office/drawing/2014/chart" uri="{C3380CC4-5D6E-409C-BE32-E72D297353CC}">
              <c16:uniqueId val="{00000000-480C-4E07-90F5-E82325BB53EB}"/>
            </c:ext>
          </c:extLst>
        </c:ser>
        <c:dLbls>
          <c:showLegendKey val="0"/>
          <c:showVal val="0"/>
          <c:showCatName val="0"/>
          <c:showSerName val="0"/>
          <c:showPercent val="0"/>
          <c:showBubbleSize val="0"/>
        </c:dLbls>
        <c:gapWidth val="150"/>
        <c:axId val="294605184"/>
        <c:axId val="294606720"/>
      </c:barChart>
      <c:catAx>
        <c:axId val="294605184"/>
        <c:scaling>
          <c:orientation val="maxMin"/>
        </c:scaling>
        <c:delete val="0"/>
        <c:axPos val="l"/>
        <c:numFmt formatCode="General" sourceLinked="0"/>
        <c:majorTickMark val="out"/>
        <c:minorTickMark val="none"/>
        <c:tickLblPos val="nextTo"/>
        <c:crossAx val="294606720"/>
        <c:crosses val="autoZero"/>
        <c:auto val="1"/>
        <c:lblAlgn val="ctr"/>
        <c:lblOffset val="100"/>
        <c:noMultiLvlLbl val="0"/>
      </c:catAx>
      <c:valAx>
        <c:axId val="294606720"/>
        <c:scaling>
          <c:orientation val="minMax"/>
        </c:scaling>
        <c:delete val="1"/>
        <c:axPos val="t"/>
        <c:numFmt formatCode="0.0%" sourceLinked="1"/>
        <c:majorTickMark val="out"/>
        <c:minorTickMark val="none"/>
        <c:tickLblPos val="nextTo"/>
        <c:crossAx val="294605184"/>
        <c:crosses val="autoZero"/>
        <c:crossBetween val="between"/>
      </c:valAx>
    </c:plotArea>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19</a:t>
            </a:r>
          </a:p>
          <a:p>
            <a:pPr>
              <a:defRPr sz="1200"/>
            </a:pPr>
            <a:r>
              <a:rPr lang="el-GR" sz="1200"/>
              <a:t>Το πρώτο εξάμηνο του 2022 το κόστος καυσίμων</a:t>
            </a:r>
            <a:r>
              <a:rPr lang="el-GR" sz="1200" baseline="0"/>
              <a:t> οχημάτων </a:t>
            </a:r>
            <a:r>
              <a:rPr lang="el-GR" sz="1200"/>
              <a:t>της επιχείρησή σας:</a:t>
            </a:r>
          </a:p>
        </c:rich>
      </c:tx>
      <c:overlay val="0"/>
    </c:title>
    <c:autoTitleDeleted val="0"/>
    <c:plotArea>
      <c:layout/>
      <c:barChart>
        <c:barDir val="bar"/>
        <c:grouping val="clustered"/>
        <c:varyColors val="0"/>
        <c:ser>
          <c:idx val="0"/>
          <c:order val="0"/>
          <c:tx>
            <c:strRef>
              <c:f>'ΓΡΑΦΗΜΑ 19'!$B$4</c:f>
              <c:strCache>
                <c:ptCount val="1"/>
                <c:pt idx="0">
                  <c:v>Το πρώτο εξάμηνο του 2022 το κοστος καυσίμων οχημάτων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19'!$A$5:$A$11</c:f>
              <c:strCache>
                <c:ptCount val="7"/>
                <c:pt idx="0">
                  <c:v>Αυξήθηκε εως 20%</c:v>
                </c:pt>
                <c:pt idx="1">
                  <c:v>Αυξήθηκε 21-40%</c:v>
                </c:pt>
                <c:pt idx="2">
                  <c:v>Αυξήθηκε 41-60%</c:v>
                </c:pt>
                <c:pt idx="3">
                  <c:v>Αυξήθηκε πάνω από 60%</c:v>
                </c:pt>
                <c:pt idx="4">
                  <c:v>Δεν αυξήθηκε </c:v>
                </c:pt>
                <c:pt idx="5">
                  <c:v>Δεν έχω τέτοιο κόστος</c:v>
                </c:pt>
                <c:pt idx="6">
                  <c:v>ΔΑ</c:v>
                </c:pt>
              </c:strCache>
            </c:strRef>
          </c:cat>
          <c:val>
            <c:numRef>
              <c:f>'ΓΡΑΦΗΜΑ 19'!$B$5:$B$11</c:f>
              <c:numCache>
                <c:formatCode>0.0%</c:formatCode>
                <c:ptCount val="7"/>
                <c:pt idx="0">
                  <c:v>3.7453183520599252E-2</c:v>
                </c:pt>
                <c:pt idx="1">
                  <c:v>0.16978776529338327</c:v>
                </c:pt>
                <c:pt idx="2">
                  <c:v>0.20349563046192259</c:v>
                </c:pt>
                <c:pt idx="3">
                  <c:v>0.19225967540574282</c:v>
                </c:pt>
                <c:pt idx="4">
                  <c:v>9.9875156054931337E-3</c:v>
                </c:pt>
                <c:pt idx="5">
                  <c:v>0.36454431960049938</c:v>
                </c:pt>
                <c:pt idx="6">
                  <c:v>2.247191011235955E-2</c:v>
                </c:pt>
              </c:numCache>
            </c:numRef>
          </c:val>
          <c:extLst xmlns:c16r2="http://schemas.microsoft.com/office/drawing/2015/06/chart">
            <c:ext xmlns:c16="http://schemas.microsoft.com/office/drawing/2014/chart" uri="{C3380CC4-5D6E-409C-BE32-E72D297353CC}">
              <c16:uniqueId val="{00000000-9EB8-4F57-BDEB-0A1506C93F07}"/>
            </c:ext>
          </c:extLst>
        </c:ser>
        <c:dLbls>
          <c:showLegendKey val="0"/>
          <c:showVal val="0"/>
          <c:showCatName val="0"/>
          <c:showSerName val="0"/>
          <c:showPercent val="0"/>
          <c:showBubbleSize val="0"/>
        </c:dLbls>
        <c:gapWidth val="150"/>
        <c:axId val="294800768"/>
        <c:axId val="294818944"/>
      </c:barChart>
      <c:catAx>
        <c:axId val="294800768"/>
        <c:scaling>
          <c:orientation val="maxMin"/>
        </c:scaling>
        <c:delete val="0"/>
        <c:axPos val="l"/>
        <c:numFmt formatCode="General" sourceLinked="0"/>
        <c:majorTickMark val="out"/>
        <c:minorTickMark val="none"/>
        <c:tickLblPos val="nextTo"/>
        <c:crossAx val="294818944"/>
        <c:crosses val="autoZero"/>
        <c:auto val="1"/>
        <c:lblAlgn val="ctr"/>
        <c:lblOffset val="100"/>
        <c:noMultiLvlLbl val="0"/>
      </c:catAx>
      <c:valAx>
        <c:axId val="294818944"/>
        <c:scaling>
          <c:orientation val="minMax"/>
        </c:scaling>
        <c:delete val="1"/>
        <c:axPos val="t"/>
        <c:numFmt formatCode="0.0%" sourceLinked="1"/>
        <c:majorTickMark val="out"/>
        <c:minorTickMark val="none"/>
        <c:tickLblPos val="nextTo"/>
        <c:crossAx val="294800768"/>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u="none" strike="noStrike" baseline="0">
                <a:effectLst/>
              </a:rPr>
              <a:t>Γράφημα </a:t>
            </a:r>
            <a:r>
              <a:rPr lang="en-US" sz="1200" b="1" i="0" u="none" strike="noStrike" baseline="0">
                <a:effectLst/>
              </a:rPr>
              <a:t>2</a:t>
            </a:r>
            <a:endParaRPr lang="el-GR" sz="1200" b="1" i="0" u="none" strike="noStrike" baseline="0">
              <a:effectLst/>
            </a:endParaRPr>
          </a:p>
          <a:p>
            <a:pPr>
              <a:defRPr sz="1200"/>
            </a:pPr>
            <a:r>
              <a:rPr lang="el-GR" sz="1200" b="1" i="0" u="none" strike="noStrike" baseline="0">
                <a:effectLst/>
              </a:rPr>
              <a:t>ΚΥΚΛΟΣ ΕΡΓΑΣΙΩΝ </a:t>
            </a:r>
            <a:r>
              <a:rPr lang="en-US" sz="1200" b="1" i="0" u="none" strike="noStrike" baseline="0">
                <a:effectLst/>
              </a:rPr>
              <a:t>- </a:t>
            </a:r>
            <a:r>
              <a:rPr lang="el-GR" sz="1200" b="1" i="0" u="none" strike="noStrike" baseline="0">
                <a:effectLst/>
              </a:rPr>
              <a:t>ΑΠΟΤΙΜΗΣΗ ΤΕΛΕΥΤΑΙΟΥ ΕΞΑΜΗΝΟΥ</a:t>
            </a:r>
            <a:endParaRPr lang="el-GR" sz="1200"/>
          </a:p>
        </c:rich>
      </c:tx>
      <c:layout>
        <c:manualLayout>
          <c:xMode val="edge"/>
          <c:yMode val="edge"/>
          <c:x val="0.20971828030612583"/>
          <c:y val="0"/>
        </c:manualLayout>
      </c:layout>
      <c:overlay val="0"/>
    </c:title>
    <c:autoTitleDeleted val="0"/>
    <c:plotArea>
      <c:layout/>
      <c:barChart>
        <c:barDir val="col"/>
        <c:grouping val="clustered"/>
        <c:varyColors val="0"/>
        <c:ser>
          <c:idx val="0"/>
          <c:order val="0"/>
          <c:tx>
            <c:strRef>
              <c:f>'ΓΡΑΦΗΜΑ 2'!$B$2</c:f>
              <c:strCache>
                <c:ptCount val="1"/>
                <c:pt idx="0">
                  <c:v>Αύξηση</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2'!$A$3:$A$8</c:f>
              <c:strCache>
                <c:ptCount val="6"/>
                <c:pt idx="0">
                  <c:v>B2019</c:v>
                </c:pt>
                <c:pt idx="1">
                  <c:v>A2020</c:v>
                </c:pt>
                <c:pt idx="2">
                  <c:v>B2020</c:v>
                </c:pt>
                <c:pt idx="3">
                  <c:v>A2021</c:v>
                </c:pt>
                <c:pt idx="4">
                  <c:v>B2021</c:v>
                </c:pt>
                <c:pt idx="5">
                  <c:v>Α2022</c:v>
                </c:pt>
              </c:strCache>
            </c:strRef>
          </c:cat>
          <c:val>
            <c:numRef>
              <c:f>'ΓΡΑΦΗΜΑ 2'!$B$3:$B$8</c:f>
              <c:numCache>
                <c:formatCode>General</c:formatCode>
                <c:ptCount val="6"/>
                <c:pt idx="0" formatCode="0.0">
                  <c:v>29.6</c:v>
                </c:pt>
                <c:pt idx="1">
                  <c:v>5.9</c:v>
                </c:pt>
                <c:pt idx="2">
                  <c:v>11.1</c:v>
                </c:pt>
                <c:pt idx="3">
                  <c:v>20</c:v>
                </c:pt>
                <c:pt idx="4">
                  <c:v>28.1</c:v>
                </c:pt>
                <c:pt idx="5">
                  <c:v>24.2</c:v>
                </c:pt>
              </c:numCache>
            </c:numRef>
          </c:val>
          <c:extLst xmlns:c16r2="http://schemas.microsoft.com/office/drawing/2015/06/chart">
            <c:ext xmlns:c16="http://schemas.microsoft.com/office/drawing/2014/chart" uri="{C3380CC4-5D6E-409C-BE32-E72D297353CC}">
              <c16:uniqueId val="{00000000-66CD-448C-85E7-4E9401E58500}"/>
            </c:ext>
          </c:extLst>
        </c:ser>
        <c:ser>
          <c:idx val="1"/>
          <c:order val="1"/>
          <c:tx>
            <c:strRef>
              <c:f>'ΓΡΑΦΗΜΑ 2'!$C$2</c:f>
              <c:strCache>
                <c:ptCount val="1"/>
                <c:pt idx="0">
                  <c:v>Μείωση </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2'!$A$3:$A$8</c:f>
              <c:strCache>
                <c:ptCount val="6"/>
                <c:pt idx="0">
                  <c:v>B2019</c:v>
                </c:pt>
                <c:pt idx="1">
                  <c:v>A2020</c:v>
                </c:pt>
                <c:pt idx="2">
                  <c:v>B2020</c:v>
                </c:pt>
                <c:pt idx="3">
                  <c:v>A2021</c:v>
                </c:pt>
                <c:pt idx="4">
                  <c:v>B2021</c:v>
                </c:pt>
                <c:pt idx="5">
                  <c:v>Α2022</c:v>
                </c:pt>
              </c:strCache>
            </c:strRef>
          </c:cat>
          <c:val>
            <c:numRef>
              <c:f>'ΓΡΑΦΗΜΑ 2'!$C$3:$C$8</c:f>
              <c:numCache>
                <c:formatCode>General</c:formatCode>
                <c:ptCount val="6"/>
                <c:pt idx="0" formatCode="0.0">
                  <c:v>30</c:v>
                </c:pt>
                <c:pt idx="1">
                  <c:v>80.599999999999994</c:v>
                </c:pt>
                <c:pt idx="2">
                  <c:v>70.7</c:v>
                </c:pt>
                <c:pt idx="3">
                  <c:v>55</c:v>
                </c:pt>
                <c:pt idx="4">
                  <c:v>46.5</c:v>
                </c:pt>
                <c:pt idx="5">
                  <c:v>46.3</c:v>
                </c:pt>
              </c:numCache>
            </c:numRef>
          </c:val>
          <c:extLst xmlns:c16r2="http://schemas.microsoft.com/office/drawing/2015/06/chart">
            <c:ext xmlns:c16="http://schemas.microsoft.com/office/drawing/2014/chart" uri="{C3380CC4-5D6E-409C-BE32-E72D297353CC}">
              <c16:uniqueId val="{00000001-66CD-448C-85E7-4E9401E58500}"/>
            </c:ext>
          </c:extLst>
        </c:ser>
        <c:ser>
          <c:idx val="2"/>
          <c:order val="2"/>
          <c:tx>
            <c:strRef>
              <c:f>'ΓΡΑΦΗΜΑ 2'!$D$2</c:f>
              <c:strCache>
                <c:ptCount val="1"/>
                <c:pt idx="0">
                  <c:v>Αμετάβλητος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2'!$A$3:$A$8</c:f>
              <c:strCache>
                <c:ptCount val="6"/>
                <c:pt idx="0">
                  <c:v>B2019</c:v>
                </c:pt>
                <c:pt idx="1">
                  <c:v>A2020</c:v>
                </c:pt>
                <c:pt idx="2">
                  <c:v>B2020</c:v>
                </c:pt>
                <c:pt idx="3">
                  <c:v>A2021</c:v>
                </c:pt>
                <c:pt idx="4">
                  <c:v>B2021</c:v>
                </c:pt>
                <c:pt idx="5">
                  <c:v>Α2022</c:v>
                </c:pt>
              </c:strCache>
            </c:strRef>
          </c:cat>
          <c:val>
            <c:numRef>
              <c:f>'ΓΡΑΦΗΜΑ 2'!$D$3:$D$8</c:f>
              <c:numCache>
                <c:formatCode>General</c:formatCode>
                <c:ptCount val="6"/>
                <c:pt idx="0" formatCode="0.0">
                  <c:v>39.9</c:v>
                </c:pt>
                <c:pt idx="1">
                  <c:v>10.8</c:v>
                </c:pt>
                <c:pt idx="2">
                  <c:v>16.899999999999999</c:v>
                </c:pt>
                <c:pt idx="3">
                  <c:v>23</c:v>
                </c:pt>
                <c:pt idx="4">
                  <c:v>23.7</c:v>
                </c:pt>
                <c:pt idx="5">
                  <c:v>26.8</c:v>
                </c:pt>
              </c:numCache>
            </c:numRef>
          </c:val>
          <c:extLst xmlns:c16r2="http://schemas.microsoft.com/office/drawing/2015/06/chart">
            <c:ext xmlns:c16="http://schemas.microsoft.com/office/drawing/2014/chart" uri="{C3380CC4-5D6E-409C-BE32-E72D297353CC}">
              <c16:uniqueId val="{00000002-66CD-448C-85E7-4E9401E58500}"/>
            </c:ext>
          </c:extLst>
        </c:ser>
        <c:dLbls>
          <c:showLegendKey val="0"/>
          <c:showVal val="0"/>
          <c:showCatName val="0"/>
          <c:showSerName val="0"/>
          <c:showPercent val="0"/>
          <c:showBubbleSize val="0"/>
        </c:dLbls>
        <c:gapWidth val="150"/>
        <c:axId val="301000576"/>
        <c:axId val="301002112"/>
      </c:barChart>
      <c:catAx>
        <c:axId val="301000576"/>
        <c:scaling>
          <c:orientation val="minMax"/>
        </c:scaling>
        <c:delete val="0"/>
        <c:axPos val="b"/>
        <c:numFmt formatCode="General" sourceLinked="0"/>
        <c:majorTickMark val="out"/>
        <c:minorTickMark val="none"/>
        <c:tickLblPos val="nextTo"/>
        <c:crossAx val="301002112"/>
        <c:crosses val="autoZero"/>
        <c:auto val="1"/>
        <c:lblAlgn val="ctr"/>
        <c:lblOffset val="100"/>
        <c:noMultiLvlLbl val="0"/>
      </c:catAx>
      <c:valAx>
        <c:axId val="301002112"/>
        <c:scaling>
          <c:orientation val="minMax"/>
        </c:scaling>
        <c:delete val="0"/>
        <c:axPos val="l"/>
        <c:majorGridlines/>
        <c:numFmt formatCode="0.0" sourceLinked="1"/>
        <c:majorTickMark val="out"/>
        <c:minorTickMark val="none"/>
        <c:tickLblPos val="nextTo"/>
        <c:crossAx val="301000576"/>
        <c:crosses val="autoZero"/>
        <c:crossBetween val="between"/>
      </c:val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20</a:t>
            </a:r>
          </a:p>
          <a:p>
            <a:pPr>
              <a:defRPr sz="1200"/>
            </a:pPr>
            <a:r>
              <a:rPr lang="el-GR" sz="1200"/>
              <a:t>Το πρώτο εξάμηνο του 2022 το κόστος εξοπλισμού και μηχανημάτων της επιχείρησή σας:</a:t>
            </a:r>
          </a:p>
        </c:rich>
      </c:tx>
      <c:overlay val="0"/>
    </c:title>
    <c:autoTitleDeleted val="0"/>
    <c:plotArea>
      <c:layout/>
      <c:barChart>
        <c:barDir val="bar"/>
        <c:grouping val="clustered"/>
        <c:varyColors val="0"/>
        <c:ser>
          <c:idx val="0"/>
          <c:order val="0"/>
          <c:tx>
            <c:strRef>
              <c:f>'ΓΡΑΦΗΜΑ 20'!$B$4</c:f>
              <c:strCache>
                <c:ptCount val="1"/>
                <c:pt idx="0">
                  <c:v>Το πρώτο εξάμηνο του 2022 το κοστος εξοπλισμού και μηχανημάτων της επιχειρήσή σας: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20'!$A$5:$A$11</c:f>
              <c:strCache>
                <c:ptCount val="7"/>
                <c:pt idx="0">
                  <c:v>Αυξήθηκε εως 20%</c:v>
                </c:pt>
                <c:pt idx="1">
                  <c:v>Αυξήθηκε 21-40%</c:v>
                </c:pt>
                <c:pt idx="2">
                  <c:v>Αυξήθηκε 41-60%</c:v>
                </c:pt>
                <c:pt idx="3">
                  <c:v>Αυξήθηκε πάνω από 60%</c:v>
                </c:pt>
                <c:pt idx="4">
                  <c:v>Δεν αυξήθηκε </c:v>
                </c:pt>
                <c:pt idx="5">
                  <c:v>Δεν έχω τέτοιο κόστος</c:v>
                </c:pt>
                <c:pt idx="6">
                  <c:v>ΔΑ</c:v>
                </c:pt>
              </c:strCache>
            </c:strRef>
          </c:cat>
          <c:val>
            <c:numRef>
              <c:f>'ΓΡΑΦΗΜΑ 20'!$B$5:$B$11</c:f>
              <c:numCache>
                <c:formatCode>0.0%</c:formatCode>
                <c:ptCount val="7"/>
                <c:pt idx="0">
                  <c:v>7.8651685393258425E-2</c:v>
                </c:pt>
                <c:pt idx="1">
                  <c:v>7.2409488139825215E-2</c:v>
                </c:pt>
                <c:pt idx="2">
                  <c:v>2.871410736579276E-2</c:v>
                </c:pt>
                <c:pt idx="3">
                  <c:v>1.7478152309612985E-2</c:v>
                </c:pt>
                <c:pt idx="4">
                  <c:v>5.4931335830212237E-2</c:v>
                </c:pt>
                <c:pt idx="5">
                  <c:v>0.66666666666666663</c:v>
                </c:pt>
                <c:pt idx="6">
                  <c:v>8.1100000000000005E-2</c:v>
                </c:pt>
              </c:numCache>
            </c:numRef>
          </c:val>
          <c:extLst xmlns:c16r2="http://schemas.microsoft.com/office/drawing/2015/06/chart">
            <c:ext xmlns:c16="http://schemas.microsoft.com/office/drawing/2014/chart" uri="{C3380CC4-5D6E-409C-BE32-E72D297353CC}">
              <c16:uniqueId val="{00000000-C737-402C-A1E7-EAD6C9F3EB89}"/>
            </c:ext>
          </c:extLst>
        </c:ser>
        <c:dLbls>
          <c:showLegendKey val="0"/>
          <c:showVal val="0"/>
          <c:showCatName val="0"/>
          <c:showSerName val="0"/>
          <c:showPercent val="0"/>
          <c:showBubbleSize val="0"/>
        </c:dLbls>
        <c:gapWidth val="150"/>
        <c:axId val="294898304"/>
        <c:axId val="294900096"/>
      </c:barChart>
      <c:catAx>
        <c:axId val="294898304"/>
        <c:scaling>
          <c:orientation val="maxMin"/>
        </c:scaling>
        <c:delete val="0"/>
        <c:axPos val="l"/>
        <c:numFmt formatCode="General" sourceLinked="0"/>
        <c:majorTickMark val="out"/>
        <c:minorTickMark val="none"/>
        <c:tickLblPos val="nextTo"/>
        <c:crossAx val="294900096"/>
        <c:crosses val="autoZero"/>
        <c:auto val="1"/>
        <c:lblAlgn val="ctr"/>
        <c:lblOffset val="100"/>
        <c:noMultiLvlLbl val="0"/>
      </c:catAx>
      <c:valAx>
        <c:axId val="294900096"/>
        <c:scaling>
          <c:orientation val="minMax"/>
        </c:scaling>
        <c:delete val="1"/>
        <c:axPos val="t"/>
        <c:numFmt formatCode="0.0%" sourceLinked="1"/>
        <c:majorTickMark val="out"/>
        <c:minorTickMark val="none"/>
        <c:tickLblPos val="nextTo"/>
        <c:crossAx val="294898304"/>
        <c:crosses val="autoZero"/>
        <c:crossBetween val="between"/>
      </c:valAx>
    </c:plotArea>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21</a:t>
            </a:r>
            <a:endParaRPr lang="el-GR" sz="1100"/>
          </a:p>
          <a:p>
            <a:pPr>
              <a:defRPr sz="1100"/>
            </a:pPr>
            <a:r>
              <a:rPr lang="el-GR" sz="1100"/>
              <a:t>Πώς κρίνετε τα μέτρα της κυβέρνησης για την αντιμετώπιση της ακρίβειας;  </a:t>
            </a:r>
          </a:p>
        </c:rich>
      </c:tx>
      <c:overlay val="0"/>
    </c:title>
    <c:autoTitleDeleted val="0"/>
    <c:plotArea>
      <c:layout/>
      <c:barChart>
        <c:barDir val="bar"/>
        <c:grouping val="clustered"/>
        <c:varyColors val="0"/>
        <c:ser>
          <c:idx val="0"/>
          <c:order val="0"/>
          <c:tx>
            <c:strRef>
              <c:f>'ΓΡΑΦΗΜΑ 21'!$B$1</c:f>
              <c:strCache>
                <c:ptCount val="1"/>
                <c:pt idx="0">
                  <c:v>Πώς κρίνετε τα μέτρα της κυβέρνησης για την αντιμετώπιση της ακρίβειας;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21'!$A$2:$A$5</c:f>
              <c:strCache>
                <c:ptCount val="4"/>
                <c:pt idx="0">
                  <c:v>Δεδομένων των συνθηκών μια σημαντική βοήθεια</c:v>
                </c:pt>
                <c:pt idx="1">
                  <c:v>Αναγκαία βοήθεια αλλά χρειάζονται άμεσα και άλλα μέτρα</c:v>
                </c:pt>
                <c:pt idx="2">
                  <c:v>Σχεδόν καμία βοήθεια</c:v>
                </c:pt>
                <c:pt idx="3">
                  <c:v>Δ.Α</c:v>
                </c:pt>
              </c:strCache>
            </c:strRef>
          </c:cat>
          <c:val>
            <c:numRef>
              <c:f>'ΓΡΑΦΗΜΑ 21'!$B$2:$B$5</c:f>
              <c:numCache>
                <c:formatCode>0.0%</c:formatCode>
                <c:ptCount val="4"/>
                <c:pt idx="0">
                  <c:v>7.3999999999999996E-2</c:v>
                </c:pt>
                <c:pt idx="1">
                  <c:v>0.312</c:v>
                </c:pt>
                <c:pt idx="2">
                  <c:v>0.59299999999999997</c:v>
                </c:pt>
                <c:pt idx="3">
                  <c:v>2.1000000000000001E-2</c:v>
                </c:pt>
              </c:numCache>
            </c:numRef>
          </c:val>
          <c:extLst xmlns:c16r2="http://schemas.microsoft.com/office/drawing/2015/06/chart">
            <c:ext xmlns:c16="http://schemas.microsoft.com/office/drawing/2014/chart" uri="{C3380CC4-5D6E-409C-BE32-E72D297353CC}">
              <c16:uniqueId val="{00000000-2202-4A5C-950D-C7435F4D2ACE}"/>
            </c:ext>
          </c:extLst>
        </c:ser>
        <c:dLbls>
          <c:showLegendKey val="0"/>
          <c:showVal val="0"/>
          <c:showCatName val="0"/>
          <c:showSerName val="0"/>
          <c:showPercent val="0"/>
          <c:showBubbleSize val="0"/>
        </c:dLbls>
        <c:gapWidth val="150"/>
        <c:axId val="295327616"/>
        <c:axId val="295329152"/>
      </c:barChart>
      <c:catAx>
        <c:axId val="295327616"/>
        <c:scaling>
          <c:orientation val="maxMin"/>
        </c:scaling>
        <c:delete val="0"/>
        <c:axPos val="l"/>
        <c:numFmt formatCode="General" sourceLinked="0"/>
        <c:majorTickMark val="out"/>
        <c:minorTickMark val="none"/>
        <c:tickLblPos val="nextTo"/>
        <c:crossAx val="295329152"/>
        <c:crosses val="autoZero"/>
        <c:auto val="1"/>
        <c:lblAlgn val="ctr"/>
        <c:lblOffset val="100"/>
        <c:noMultiLvlLbl val="0"/>
      </c:catAx>
      <c:valAx>
        <c:axId val="295329152"/>
        <c:scaling>
          <c:orientation val="minMax"/>
        </c:scaling>
        <c:delete val="1"/>
        <c:axPos val="t"/>
        <c:numFmt formatCode="0.0%" sourceLinked="1"/>
        <c:majorTickMark val="out"/>
        <c:minorTickMark val="none"/>
        <c:tickLblPos val="nextTo"/>
        <c:crossAx val="295327616"/>
        <c:crosses val="autoZero"/>
        <c:crossBetween val="between"/>
      </c:valAx>
      <c:spPr>
        <a:noFill/>
        <a:ln w="25400">
          <a:no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 Γράφημα</a:t>
            </a:r>
            <a:r>
              <a:rPr lang="el-GR" sz="1100" baseline="0"/>
              <a:t> 22 </a:t>
            </a:r>
          </a:p>
          <a:p>
            <a:pPr>
              <a:defRPr sz="1100"/>
            </a:pPr>
            <a:r>
              <a:rPr lang="el-GR" sz="1100"/>
              <a:t>Ποιο μέτρο θεωρείτε ως το καταλληλότερο για την αντιμετώπιση των ανατιμήσεων (1η επιλογή):</a:t>
            </a:r>
          </a:p>
        </c:rich>
      </c:tx>
      <c:overlay val="0"/>
    </c:title>
    <c:autoTitleDeleted val="0"/>
    <c:plotArea>
      <c:layout/>
      <c:barChart>
        <c:barDir val="bar"/>
        <c:grouping val="clustered"/>
        <c:varyColors val="0"/>
        <c:ser>
          <c:idx val="0"/>
          <c:order val="0"/>
          <c:tx>
            <c:strRef>
              <c:f>'ΓΡΑΦΗΜΑ 22&amp;23'!$B$3</c:f>
              <c:strCache>
                <c:ptCount val="1"/>
                <c:pt idx="0">
                  <c:v>Ποιο μέτρο θεωρείτε ως το καταλληλότερο για την αντιμετώπιση των ανατιμήσεων (1η επιλογή):</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22&amp;23'!$A$4:$A$12</c:f>
              <c:strCache>
                <c:ptCount val="9"/>
                <c:pt idx="0">
                  <c:v>Μείωση ΦΠΑ</c:v>
                </c:pt>
                <c:pt idx="1">
                  <c:v>Μείωση ειδικών φόρων στην ενέργεια και τα καύσιμα</c:v>
                </c:pt>
                <c:pt idx="2">
                  <c:v>Μείωση φορολόγησης</c:v>
                </c:pt>
                <c:pt idx="3">
                  <c:v>Πλαφόν στη χονδρική τιμή ενέργειας και καυσίμων</c:v>
                </c:pt>
                <c:pt idx="4">
                  <c:v>Μείωση ασφαλιστικών εισφορών</c:v>
                </c:pt>
                <c:pt idx="5">
                  <c:v>Επιδότηση επιχειρήσεων για το επιπρόσθετο κόστος ενέργειας</c:v>
                </c:pt>
                <c:pt idx="6">
                  <c:v>Εφαρμογή αυστηρότερων κανόνων ανταγωνισμού</c:v>
                </c:pt>
                <c:pt idx="7">
                  <c:v>Άλλο</c:v>
                </c:pt>
                <c:pt idx="8">
                  <c:v>ΔΑ</c:v>
                </c:pt>
              </c:strCache>
            </c:strRef>
          </c:cat>
          <c:val>
            <c:numRef>
              <c:f>'ΓΡΑΦΗΜΑ 22&amp;23'!$B$4:$B$12</c:f>
              <c:numCache>
                <c:formatCode>0.0%</c:formatCode>
                <c:ptCount val="9"/>
                <c:pt idx="0">
                  <c:v>0.39325842696629215</c:v>
                </c:pt>
                <c:pt idx="1">
                  <c:v>0.26092384519350814</c:v>
                </c:pt>
                <c:pt idx="2">
                  <c:v>0.11735330836454431</c:v>
                </c:pt>
                <c:pt idx="3">
                  <c:v>5.9925093632958802E-2</c:v>
                </c:pt>
                <c:pt idx="4">
                  <c:v>5.118601747815231E-2</c:v>
                </c:pt>
                <c:pt idx="5">
                  <c:v>3.7453183520599252E-2</c:v>
                </c:pt>
                <c:pt idx="6">
                  <c:v>2.4968789013732832E-2</c:v>
                </c:pt>
                <c:pt idx="7">
                  <c:v>2.2499999999999999E-2</c:v>
                </c:pt>
                <c:pt idx="8">
                  <c:v>3.2459425717852687E-2</c:v>
                </c:pt>
              </c:numCache>
            </c:numRef>
          </c:val>
          <c:extLst xmlns:c16r2="http://schemas.microsoft.com/office/drawing/2015/06/chart">
            <c:ext xmlns:c16="http://schemas.microsoft.com/office/drawing/2014/chart" uri="{C3380CC4-5D6E-409C-BE32-E72D297353CC}">
              <c16:uniqueId val="{00000000-A387-412E-A4D8-D9883C0F8F71}"/>
            </c:ext>
          </c:extLst>
        </c:ser>
        <c:dLbls>
          <c:showLegendKey val="0"/>
          <c:showVal val="0"/>
          <c:showCatName val="0"/>
          <c:showSerName val="0"/>
          <c:showPercent val="0"/>
          <c:showBubbleSize val="0"/>
        </c:dLbls>
        <c:gapWidth val="150"/>
        <c:axId val="295514880"/>
        <c:axId val="295516416"/>
      </c:barChart>
      <c:catAx>
        <c:axId val="295514880"/>
        <c:scaling>
          <c:orientation val="maxMin"/>
        </c:scaling>
        <c:delete val="0"/>
        <c:axPos val="l"/>
        <c:numFmt formatCode="General" sourceLinked="0"/>
        <c:majorTickMark val="out"/>
        <c:minorTickMark val="none"/>
        <c:tickLblPos val="nextTo"/>
        <c:txPr>
          <a:bodyPr/>
          <a:lstStyle/>
          <a:p>
            <a:pPr>
              <a:defRPr sz="900"/>
            </a:pPr>
            <a:endParaRPr lang="el-GR"/>
          </a:p>
        </c:txPr>
        <c:crossAx val="295516416"/>
        <c:crosses val="autoZero"/>
        <c:auto val="1"/>
        <c:lblAlgn val="ctr"/>
        <c:lblOffset val="100"/>
        <c:noMultiLvlLbl val="0"/>
      </c:catAx>
      <c:valAx>
        <c:axId val="295516416"/>
        <c:scaling>
          <c:orientation val="minMax"/>
        </c:scaling>
        <c:delete val="1"/>
        <c:axPos val="t"/>
        <c:numFmt formatCode="0.0%" sourceLinked="1"/>
        <c:majorTickMark val="out"/>
        <c:minorTickMark val="none"/>
        <c:tickLblPos val="nextTo"/>
        <c:crossAx val="295514880"/>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 23 </a:t>
            </a:r>
          </a:p>
          <a:p>
            <a:pPr>
              <a:defRPr sz="1100"/>
            </a:pPr>
            <a:r>
              <a:rPr lang="el-GR" sz="1100"/>
              <a:t>Ποιο μέτρο θεωρείτε ως το αμέσως επόμενο καταλληλότερο για την αντιμετώπιση των ανατιμήσεων (2η επιλογή):</a:t>
            </a:r>
          </a:p>
        </c:rich>
      </c:tx>
      <c:overlay val="0"/>
    </c:title>
    <c:autoTitleDeleted val="0"/>
    <c:plotArea>
      <c:layout/>
      <c:barChart>
        <c:barDir val="bar"/>
        <c:grouping val="clustered"/>
        <c:varyColors val="0"/>
        <c:ser>
          <c:idx val="0"/>
          <c:order val="0"/>
          <c:tx>
            <c:strRef>
              <c:f>'ΓΡΑΦΗΜΑ 22&amp;23'!$B$15</c:f>
              <c:strCache>
                <c:ptCount val="1"/>
                <c:pt idx="0">
                  <c:v>Ποιο μέτρο θεωρείτε ως το αμέσως επόμενο καταλληλότερο για την αντιμετώπιση των ανατιμήσεων (2η επιλογή):</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22&amp;23'!$A$16:$A$23</c:f>
              <c:strCache>
                <c:ptCount val="8"/>
                <c:pt idx="0">
                  <c:v>Μείωση ειδικών φόρων στην ενέργεια και τα καύσιμα</c:v>
                </c:pt>
                <c:pt idx="1">
                  <c:v>Μείωση ΦΠΑ</c:v>
                </c:pt>
                <c:pt idx="2">
                  <c:v>Μείωση φορολόγησης</c:v>
                </c:pt>
                <c:pt idx="3">
                  <c:v>Μείωση ασφαλιστικών εισφορών</c:v>
                </c:pt>
                <c:pt idx="4">
                  <c:v>Πλαφόν στη χονδρική τιμή ενέργειας και καυσίμων</c:v>
                </c:pt>
                <c:pt idx="5">
                  <c:v>Επιδότηση επιχειρήσεων για το επιπρόσθετο κόστος ενέργειας</c:v>
                </c:pt>
                <c:pt idx="6">
                  <c:v>Εφαρμογή αυστηρότερων κανόνων ανταγωνισμού</c:v>
                </c:pt>
                <c:pt idx="7">
                  <c:v>Άλλο </c:v>
                </c:pt>
              </c:strCache>
            </c:strRef>
          </c:cat>
          <c:val>
            <c:numRef>
              <c:f>'ΓΡΑΦΗΜΑ 22&amp;23'!$B$16:$B$23</c:f>
              <c:numCache>
                <c:formatCode>0.0%</c:formatCode>
                <c:ptCount val="8"/>
                <c:pt idx="0">
                  <c:v>0.26217228464419473</c:v>
                </c:pt>
                <c:pt idx="1">
                  <c:v>0.14981273408239701</c:v>
                </c:pt>
                <c:pt idx="2">
                  <c:v>0.13108614232209737</c:v>
                </c:pt>
                <c:pt idx="3">
                  <c:v>7.990012484394507E-2</c:v>
                </c:pt>
                <c:pt idx="4">
                  <c:v>5.742821473158552E-2</c:v>
                </c:pt>
                <c:pt idx="5">
                  <c:v>5.2434456928838954E-2</c:v>
                </c:pt>
                <c:pt idx="6">
                  <c:v>2.7465667915106119E-2</c:v>
                </c:pt>
                <c:pt idx="7">
                  <c:v>1.2500000000000001E-2</c:v>
                </c:pt>
              </c:numCache>
            </c:numRef>
          </c:val>
          <c:extLst xmlns:c16r2="http://schemas.microsoft.com/office/drawing/2015/06/chart">
            <c:ext xmlns:c16="http://schemas.microsoft.com/office/drawing/2014/chart" uri="{C3380CC4-5D6E-409C-BE32-E72D297353CC}">
              <c16:uniqueId val="{00000000-5A5C-46B9-B50B-C96E3A669F8A}"/>
            </c:ext>
          </c:extLst>
        </c:ser>
        <c:dLbls>
          <c:showLegendKey val="0"/>
          <c:showVal val="0"/>
          <c:showCatName val="0"/>
          <c:showSerName val="0"/>
          <c:showPercent val="0"/>
          <c:showBubbleSize val="0"/>
        </c:dLbls>
        <c:gapWidth val="150"/>
        <c:axId val="295656832"/>
        <c:axId val="295675008"/>
      </c:barChart>
      <c:catAx>
        <c:axId val="295656832"/>
        <c:scaling>
          <c:orientation val="maxMin"/>
        </c:scaling>
        <c:delete val="0"/>
        <c:axPos val="l"/>
        <c:numFmt formatCode="General" sourceLinked="0"/>
        <c:majorTickMark val="out"/>
        <c:minorTickMark val="none"/>
        <c:tickLblPos val="nextTo"/>
        <c:txPr>
          <a:bodyPr/>
          <a:lstStyle/>
          <a:p>
            <a:pPr>
              <a:defRPr sz="900"/>
            </a:pPr>
            <a:endParaRPr lang="el-GR"/>
          </a:p>
        </c:txPr>
        <c:crossAx val="295675008"/>
        <c:crosses val="autoZero"/>
        <c:auto val="1"/>
        <c:lblAlgn val="ctr"/>
        <c:lblOffset val="100"/>
        <c:noMultiLvlLbl val="0"/>
      </c:catAx>
      <c:valAx>
        <c:axId val="295675008"/>
        <c:scaling>
          <c:orientation val="minMax"/>
        </c:scaling>
        <c:delete val="1"/>
        <c:axPos val="t"/>
        <c:numFmt formatCode="0.0%" sourceLinked="1"/>
        <c:majorTickMark val="out"/>
        <c:minorTickMark val="none"/>
        <c:tickLblPos val="nextTo"/>
        <c:crossAx val="295656832"/>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24</a:t>
            </a:r>
          </a:p>
          <a:p>
            <a:pPr>
              <a:defRPr sz="1200"/>
            </a:pPr>
            <a:r>
              <a:rPr lang="el-GR" sz="1200"/>
              <a:t>Βαθμός υπερχρέωσης ΜμΕ</a:t>
            </a:r>
            <a:r>
              <a:rPr lang="el-GR" sz="1200" baseline="0"/>
              <a:t> </a:t>
            </a:r>
          </a:p>
          <a:p>
            <a:pPr>
              <a:defRPr sz="1200"/>
            </a:pPr>
            <a:r>
              <a:rPr lang="el-GR" sz="1200" baseline="0"/>
              <a:t>-Σύγκριση εξαμήνων-</a:t>
            </a:r>
            <a:endParaRPr lang="el-GR" sz="1200"/>
          </a:p>
        </c:rich>
      </c:tx>
      <c:overlay val="0"/>
    </c:title>
    <c:autoTitleDeleted val="0"/>
    <c:plotArea>
      <c:layout/>
      <c:barChart>
        <c:barDir val="col"/>
        <c:grouping val="clustered"/>
        <c:varyColors val="0"/>
        <c:ser>
          <c:idx val="0"/>
          <c:order val="0"/>
          <c:tx>
            <c:strRef>
              <c:f>'ΓΡΑΦΗΜΑ 24'!$B$1</c:f>
              <c:strCache>
                <c:ptCount val="1"/>
                <c:pt idx="0">
                  <c:v>Β 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24'!$B$2:$B$4</c:f>
              <c:numCache>
                <c:formatCode>0.0</c:formatCode>
                <c:ptCount val="3"/>
                <c:pt idx="0">
                  <c:v>13.681592039800995</c:v>
                </c:pt>
                <c:pt idx="1">
                  <c:v>7.2139303482587067</c:v>
                </c:pt>
                <c:pt idx="2">
                  <c:v>17.786069651741293</c:v>
                </c:pt>
              </c:numCache>
            </c:numRef>
          </c:val>
          <c:extLst xmlns:c16r2="http://schemas.microsoft.com/office/drawing/2015/06/chart">
            <c:ext xmlns:c16="http://schemas.microsoft.com/office/drawing/2014/chart" uri="{C3380CC4-5D6E-409C-BE32-E72D297353CC}">
              <c16:uniqueId val="{00000000-9A28-4FE7-83AD-658FA887146D}"/>
            </c:ext>
          </c:extLst>
        </c:ser>
        <c:ser>
          <c:idx val="1"/>
          <c:order val="1"/>
          <c:tx>
            <c:strRef>
              <c:f>'ΓΡΑΦΗΜΑ 24'!$C$1</c:f>
              <c:strCache>
                <c:ptCount val="1"/>
                <c:pt idx="0">
                  <c:v>Α 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24'!$C$2:$C$4</c:f>
              <c:numCache>
                <c:formatCode>0.0</c:formatCode>
                <c:ptCount val="3"/>
                <c:pt idx="0">
                  <c:v>13.308457711442786</c:v>
                </c:pt>
                <c:pt idx="1">
                  <c:v>7.7114427860696519</c:v>
                </c:pt>
                <c:pt idx="2">
                  <c:v>22.263681592039806</c:v>
                </c:pt>
              </c:numCache>
            </c:numRef>
          </c:val>
          <c:extLst xmlns:c16r2="http://schemas.microsoft.com/office/drawing/2015/06/chart">
            <c:ext xmlns:c16="http://schemas.microsoft.com/office/drawing/2014/chart" uri="{C3380CC4-5D6E-409C-BE32-E72D297353CC}">
              <c16:uniqueId val="{00000001-9A28-4FE7-83AD-658FA887146D}"/>
            </c:ext>
          </c:extLst>
        </c:ser>
        <c:ser>
          <c:idx val="2"/>
          <c:order val="2"/>
          <c:tx>
            <c:strRef>
              <c:f>'ΓΡΑΦΗΜΑ 24'!$D$1</c:f>
              <c:strCache>
                <c:ptCount val="1"/>
                <c:pt idx="0">
                  <c:v>Β 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24'!$D$2:$D$4</c:f>
              <c:numCache>
                <c:formatCode>General</c:formatCode>
                <c:ptCount val="3"/>
                <c:pt idx="0">
                  <c:v>13.2</c:v>
                </c:pt>
                <c:pt idx="1">
                  <c:v>9.9</c:v>
                </c:pt>
                <c:pt idx="2">
                  <c:v>24.2</c:v>
                </c:pt>
              </c:numCache>
            </c:numRef>
          </c:val>
          <c:extLst xmlns:c16r2="http://schemas.microsoft.com/office/drawing/2015/06/chart">
            <c:ext xmlns:c16="http://schemas.microsoft.com/office/drawing/2014/chart" uri="{C3380CC4-5D6E-409C-BE32-E72D297353CC}">
              <c16:uniqueId val="{00000002-9A28-4FE7-83AD-658FA887146D}"/>
            </c:ext>
          </c:extLst>
        </c:ser>
        <c:ser>
          <c:idx val="3"/>
          <c:order val="3"/>
          <c:tx>
            <c:strRef>
              <c:f>'ΓΡΑΦΗΜΑ 24'!$E$1</c:f>
              <c:strCache>
                <c:ptCount val="1"/>
                <c:pt idx="0">
                  <c:v>Α2022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24'!$A$2:$A$4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'ΓΡΑΦΗΜΑ 24'!$E$2:$E$4</c:f>
              <c:numCache>
                <c:formatCode>0.0</c:formatCode>
                <c:ptCount val="3"/>
                <c:pt idx="0">
                  <c:v>12.23</c:v>
                </c:pt>
                <c:pt idx="1">
                  <c:v>9.24</c:v>
                </c:pt>
                <c:pt idx="2">
                  <c:v>16.73</c:v>
                </c:pt>
              </c:numCache>
            </c:numRef>
          </c:val>
          <c:extLst xmlns:c16r2="http://schemas.microsoft.com/office/drawing/2015/06/chart">
            <c:ext xmlns:c16="http://schemas.microsoft.com/office/drawing/2014/chart" uri="{C3380CC4-5D6E-409C-BE32-E72D297353CC}">
              <c16:uniqueId val="{00000003-9A28-4FE7-83AD-658FA887146D}"/>
            </c:ext>
          </c:extLst>
        </c:ser>
        <c:dLbls>
          <c:showLegendKey val="0"/>
          <c:showVal val="0"/>
          <c:showCatName val="0"/>
          <c:showSerName val="0"/>
          <c:showPercent val="0"/>
          <c:showBubbleSize val="0"/>
        </c:dLbls>
        <c:gapWidth val="150"/>
        <c:axId val="295750656"/>
        <c:axId val="295981824"/>
      </c:barChart>
      <c:catAx>
        <c:axId val="295750656"/>
        <c:scaling>
          <c:orientation val="minMax"/>
        </c:scaling>
        <c:delete val="0"/>
        <c:axPos val="b"/>
        <c:numFmt formatCode="General" sourceLinked="0"/>
        <c:majorTickMark val="out"/>
        <c:minorTickMark val="none"/>
        <c:tickLblPos val="nextTo"/>
        <c:crossAx val="295981824"/>
        <c:crosses val="autoZero"/>
        <c:auto val="1"/>
        <c:lblAlgn val="ctr"/>
        <c:lblOffset val="100"/>
        <c:noMultiLvlLbl val="0"/>
      </c:catAx>
      <c:valAx>
        <c:axId val="295981824"/>
        <c:scaling>
          <c:orientation val="minMax"/>
        </c:scaling>
        <c:delete val="0"/>
        <c:axPos val="l"/>
        <c:majorGridlines/>
        <c:numFmt formatCode="0.0" sourceLinked="1"/>
        <c:majorTickMark val="out"/>
        <c:minorTickMark val="none"/>
        <c:tickLblPos val="nextTo"/>
        <c:crossAx val="295750656"/>
        <c:crosses val="autoZero"/>
        <c:crossBetween val="between"/>
      </c:valAx>
    </c:plotArea>
    <c:legend>
      <c:legendPos val="b"/>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25</a:t>
            </a:r>
          </a:p>
          <a:p>
            <a:pPr>
              <a:defRPr sz="1200"/>
            </a:pPr>
            <a:r>
              <a:rPr lang="el-GR" sz="1200"/>
              <a:t>Ποσοστό</a:t>
            </a:r>
            <a:r>
              <a:rPr lang="el-GR" sz="1200" baseline="0"/>
              <a:t> επιχειρήσεων με καθυστερημένες οφειλες  ανά κατηγορία οφειλής και ανα εξάμηνο</a:t>
            </a:r>
          </a:p>
          <a:p>
            <a:pPr>
              <a:defRPr sz="1200"/>
            </a:pPr>
            <a:r>
              <a:rPr lang="el-GR" sz="1200" baseline="0"/>
              <a:t>-Αποτίμηση-</a:t>
            </a:r>
          </a:p>
          <a:p>
            <a:pPr>
              <a:defRPr sz="1200"/>
            </a:pPr>
            <a:r>
              <a:rPr lang="el-GR" sz="800" baseline="0"/>
              <a:t>- Συκγριτικό Γράφημα-</a:t>
            </a:r>
            <a:endParaRPr lang="el-GR" sz="800"/>
          </a:p>
        </c:rich>
      </c:tx>
      <c:overlay val="0"/>
    </c:title>
    <c:autoTitleDeleted val="0"/>
    <c:plotArea>
      <c:layout/>
      <c:barChart>
        <c:barDir val="col"/>
        <c:grouping val="clustered"/>
        <c:varyColors val="0"/>
        <c:ser>
          <c:idx val="0"/>
          <c:order val="0"/>
          <c:tx>
            <c:strRef>
              <c:f>'ΓΡΑΦΗΜΑ 25'!$B$1</c:f>
              <c:strCache>
                <c:ptCount val="1"/>
                <c:pt idx="0">
                  <c:v>Α 2021</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25'!$A$2:$A$9</c:f>
              <c:strCache>
                <c:ptCount val="8"/>
                <c:pt idx="0">
                  <c:v>Στον πρώην ΟΑΕΕ </c:v>
                </c:pt>
                <c:pt idx="1">
                  <c:v>Σε λογαριασμούς ενέργειας </c:v>
                </c:pt>
                <c:pt idx="2">
                  <c:v>Σε προμηθευτές</c:v>
                </c:pt>
                <c:pt idx="3">
                  <c:v>Στην εφορία </c:v>
                </c:pt>
                <c:pt idx="4">
                  <c:v>Για ενοίκιο</c:v>
                </c:pt>
                <c:pt idx="5">
                  <c:v>Σε λοιπούς λογαριασμούς </c:v>
                </c:pt>
                <c:pt idx="6">
                  <c:v>Στις τράπεζες/ δάνεια</c:v>
                </c:pt>
                <c:pt idx="7">
                  <c:v>Στο πρώην ΙΚΑ</c:v>
                </c:pt>
              </c:strCache>
            </c:strRef>
          </c:cat>
          <c:val>
            <c:numRef>
              <c:f>'ΓΡΑΦΗΜΑ 25'!$B$2:$B$9</c:f>
              <c:numCache>
                <c:formatCode>General</c:formatCode>
                <c:ptCount val="8"/>
                <c:pt idx="0">
                  <c:v>23.8</c:v>
                </c:pt>
                <c:pt idx="1">
                  <c:v>15.2</c:v>
                </c:pt>
                <c:pt idx="2">
                  <c:v>20.100000000000001</c:v>
                </c:pt>
                <c:pt idx="3">
                  <c:v>19.5</c:v>
                </c:pt>
                <c:pt idx="4">
                  <c:v>14.3</c:v>
                </c:pt>
                <c:pt idx="5">
                  <c:v>13.1</c:v>
                </c:pt>
                <c:pt idx="6">
                  <c:v>15.4</c:v>
                </c:pt>
                <c:pt idx="7">
                  <c:v>10.199999999999999</c:v>
                </c:pt>
              </c:numCache>
            </c:numRef>
          </c:val>
          <c:extLst xmlns:c16r2="http://schemas.microsoft.com/office/drawing/2015/06/chart">
            <c:ext xmlns:c16="http://schemas.microsoft.com/office/drawing/2014/chart" uri="{C3380CC4-5D6E-409C-BE32-E72D297353CC}">
              <c16:uniqueId val="{00000000-ECEF-42D0-AAD4-21206EBE14D4}"/>
            </c:ext>
          </c:extLst>
        </c:ser>
        <c:ser>
          <c:idx val="1"/>
          <c:order val="1"/>
          <c:tx>
            <c:strRef>
              <c:f>'ΓΡΑΦΗΜΑ 25'!$C$1</c:f>
              <c:strCache>
                <c:ptCount val="1"/>
                <c:pt idx="0">
                  <c:v>Β 2021</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25'!$A$2:$A$9</c:f>
              <c:strCache>
                <c:ptCount val="8"/>
                <c:pt idx="0">
                  <c:v>Στον πρώην ΟΑΕΕ </c:v>
                </c:pt>
                <c:pt idx="1">
                  <c:v>Σε λογαριασμούς ενέργειας </c:v>
                </c:pt>
                <c:pt idx="2">
                  <c:v>Σε προμηθευτές</c:v>
                </c:pt>
                <c:pt idx="3">
                  <c:v>Στην εφορία </c:v>
                </c:pt>
                <c:pt idx="4">
                  <c:v>Για ενοίκιο</c:v>
                </c:pt>
                <c:pt idx="5">
                  <c:v>Σε λοιπούς λογαριασμούς </c:v>
                </c:pt>
                <c:pt idx="6">
                  <c:v>Στις τράπεζες/ δάνεια</c:v>
                </c:pt>
                <c:pt idx="7">
                  <c:v>Στο πρώην ΙΚΑ</c:v>
                </c:pt>
              </c:strCache>
            </c:strRef>
          </c:cat>
          <c:val>
            <c:numRef>
              <c:f>'ΓΡΑΦΗΜΑ 25'!$C$2:$C$9</c:f>
              <c:numCache>
                <c:formatCode>General</c:formatCode>
                <c:ptCount val="8"/>
                <c:pt idx="0">
                  <c:v>25.7</c:v>
                </c:pt>
                <c:pt idx="1">
                  <c:v>22.2</c:v>
                </c:pt>
                <c:pt idx="2">
                  <c:v>21.7</c:v>
                </c:pt>
                <c:pt idx="3">
                  <c:v>21.1</c:v>
                </c:pt>
                <c:pt idx="4">
                  <c:v>14.8</c:v>
                </c:pt>
                <c:pt idx="5">
                  <c:v>13.8</c:v>
                </c:pt>
                <c:pt idx="6">
                  <c:v>13.5</c:v>
                </c:pt>
                <c:pt idx="7">
                  <c:v>12.1</c:v>
                </c:pt>
              </c:numCache>
            </c:numRef>
          </c:val>
          <c:extLst xmlns:c16r2="http://schemas.microsoft.com/office/drawing/2015/06/chart">
            <c:ext xmlns:c16="http://schemas.microsoft.com/office/drawing/2014/chart" uri="{C3380CC4-5D6E-409C-BE32-E72D297353CC}">
              <c16:uniqueId val="{00000001-ECEF-42D0-AAD4-21206EBE14D4}"/>
            </c:ext>
          </c:extLst>
        </c:ser>
        <c:ser>
          <c:idx val="2"/>
          <c:order val="2"/>
          <c:tx>
            <c:strRef>
              <c:f>'ΓΡΑΦΗΜΑ 25'!$D$1</c:f>
              <c:strCache>
                <c:ptCount val="1"/>
                <c:pt idx="0">
                  <c:v>Α 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25'!$A$2:$A$9</c:f>
              <c:strCache>
                <c:ptCount val="8"/>
                <c:pt idx="0">
                  <c:v>Στον πρώην ΟΑΕΕ </c:v>
                </c:pt>
                <c:pt idx="1">
                  <c:v>Σε λογαριασμούς ενέργειας </c:v>
                </c:pt>
                <c:pt idx="2">
                  <c:v>Σε προμηθευτές</c:v>
                </c:pt>
                <c:pt idx="3">
                  <c:v>Στην εφορία </c:v>
                </c:pt>
                <c:pt idx="4">
                  <c:v>Για ενοίκιο</c:v>
                </c:pt>
                <c:pt idx="5">
                  <c:v>Σε λοιπούς λογαριασμούς </c:v>
                </c:pt>
                <c:pt idx="6">
                  <c:v>Στις τράπεζες/ δάνεια</c:v>
                </c:pt>
                <c:pt idx="7">
                  <c:v>Στο πρώην ΙΚΑ</c:v>
                </c:pt>
              </c:strCache>
            </c:strRef>
          </c:cat>
          <c:val>
            <c:numRef>
              <c:f>'ΓΡΑΦΗΜΑ 25'!$D$2:$D$9</c:f>
              <c:numCache>
                <c:formatCode>0.0</c:formatCode>
                <c:ptCount val="8"/>
                <c:pt idx="0">
                  <c:v>18.98</c:v>
                </c:pt>
                <c:pt idx="1">
                  <c:v>17.48</c:v>
                </c:pt>
                <c:pt idx="2">
                  <c:v>15.98</c:v>
                </c:pt>
                <c:pt idx="3">
                  <c:v>15.86</c:v>
                </c:pt>
                <c:pt idx="4">
                  <c:v>11.24</c:v>
                </c:pt>
                <c:pt idx="5">
                  <c:v>8.86</c:v>
                </c:pt>
                <c:pt idx="6">
                  <c:v>10.24</c:v>
                </c:pt>
                <c:pt idx="7">
                  <c:v>7.24</c:v>
                </c:pt>
              </c:numCache>
            </c:numRef>
          </c:val>
          <c:extLst xmlns:c16r2="http://schemas.microsoft.com/office/drawing/2015/06/chart">
            <c:ext xmlns:c16="http://schemas.microsoft.com/office/drawing/2014/chart" uri="{C3380CC4-5D6E-409C-BE32-E72D297353CC}">
              <c16:uniqueId val="{00000000-45DE-47AC-973B-5E44218A46B3}"/>
            </c:ext>
          </c:extLst>
        </c:ser>
        <c:dLbls>
          <c:showLegendKey val="0"/>
          <c:showVal val="0"/>
          <c:showCatName val="0"/>
          <c:showSerName val="0"/>
          <c:showPercent val="0"/>
          <c:showBubbleSize val="0"/>
        </c:dLbls>
        <c:gapWidth val="150"/>
        <c:axId val="296219392"/>
        <c:axId val="296220928"/>
      </c:barChart>
      <c:catAx>
        <c:axId val="296219392"/>
        <c:scaling>
          <c:orientation val="minMax"/>
        </c:scaling>
        <c:delete val="0"/>
        <c:axPos val="b"/>
        <c:numFmt formatCode="General" sourceLinked="0"/>
        <c:majorTickMark val="none"/>
        <c:minorTickMark val="none"/>
        <c:tickLblPos val="nextTo"/>
        <c:txPr>
          <a:bodyPr/>
          <a:lstStyle/>
          <a:p>
            <a:pPr>
              <a:defRPr sz="800"/>
            </a:pPr>
            <a:endParaRPr lang="el-GR"/>
          </a:p>
        </c:txPr>
        <c:crossAx val="296220928"/>
        <c:crosses val="autoZero"/>
        <c:auto val="1"/>
        <c:lblAlgn val="ctr"/>
        <c:lblOffset val="100"/>
        <c:noMultiLvlLbl val="0"/>
      </c:catAx>
      <c:valAx>
        <c:axId val="296220928"/>
        <c:scaling>
          <c:orientation val="minMax"/>
        </c:scaling>
        <c:delete val="0"/>
        <c:axPos val="l"/>
        <c:majorGridlines/>
        <c:numFmt formatCode="General" sourceLinked="1"/>
        <c:majorTickMark val="none"/>
        <c:minorTickMark val="none"/>
        <c:tickLblPos val="nextTo"/>
        <c:crossAx val="296219392"/>
        <c:crosses val="autoZero"/>
        <c:crossBetween val="between"/>
      </c:valAx>
    </c:plotArea>
    <c:legend>
      <c:legendPos val="b"/>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26 </a:t>
            </a:r>
          </a:p>
          <a:p>
            <a:pPr>
              <a:defRPr sz="1100"/>
            </a:pPr>
            <a:r>
              <a:rPr lang="el-GR" sz="1100"/>
              <a:t>Συνολικό ύψος οφειλής/ων </a:t>
            </a:r>
            <a:r>
              <a:rPr lang="el-GR" sz="1100" baseline="0"/>
              <a:t> </a:t>
            </a:r>
          </a:p>
          <a:p>
            <a:pPr>
              <a:defRPr sz="1100"/>
            </a:pPr>
            <a:r>
              <a:rPr lang="el-GR" sz="800" baseline="0"/>
              <a:t>-Βάση οι επιχειρήσεις με καθυστερημένες οφειλές-</a:t>
            </a:r>
            <a:endParaRPr lang="el-GR" sz="800"/>
          </a:p>
        </c:rich>
      </c:tx>
      <c:overlay val="0"/>
    </c:title>
    <c:autoTitleDeleted val="0"/>
    <c:plotArea>
      <c:layout/>
      <c:barChart>
        <c:barDir val="bar"/>
        <c:grouping val="clustered"/>
        <c:varyColors val="0"/>
        <c:ser>
          <c:idx val="0"/>
          <c:order val="0"/>
          <c:tx>
            <c:strRef>
              <c:f>'Γράφημα 26'!$B$2</c:f>
              <c:strCache>
                <c:ptCount val="1"/>
                <c:pt idx="0">
                  <c:v>Ποιο είναι το συνολικό ύψος της/των οφειλής/ων σας: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'Γράφημα 26'!$A$3:$A$13</c:f>
              <c:strCache>
                <c:ptCount val="11"/>
                <c:pt idx="0">
                  <c:v>Έως 500 ευρώ</c:v>
                </c:pt>
                <c:pt idx="1">
                  <c:v>501-1.000</c:v>
                </c:pt>
                <c:pt idx="2">
                  <c:v>1.001-2.000</c:v>
                </c:pt>
                <c:pt idx="3">
                  <c:v>2.001-4.000</c:v>
                </c:pt>
                <c:pt idx="4">
                  <c:v>4001-5.000</c:v>
                </c:pt>
                <c:pt idx="5">
                  <c:v>5.001-10.000</c:v>
                </c:pt>
                <c:pt idx="6">
                  <c:v>10.001-20.000</c:v>
                </c:pt>
                <c:pt idx="7">
                  <c:v>20.001-50.000</c:v>
                </c:pt>
                <c:pt idx="8">
                  <c:v>50.001-100.000</c:v>
                </c:pt>
                <c:pt idx="9">
                  <c:v>&gt;100.000</c:v>
                </c:pt>
                <c:pt idx="10">
                  <c:v>ΔΑ</c:v>
                </c:pt>
              </c:strCache>
            </c:strRef>
          </c:cat>
          <c:val>
            <c:numRef>
              <c:f>'Γράφημα 26'!$B$3:$B$13</c:f>
              <c:numCache>
                <c:formatCode>0.0%</c:formatCode>
                <c:ptCount val="11"/>
                <c:pt idx="0">
                  <c:v>2.9411764705882353E-2</c:v>
                </c:pt>
                <c:pt idx="1">
                  <c:v>5.2287581699346407E-2</c:v>
                </c:pt>
                <c:pt idx="2">
                  <c:v>4.2483660130718956E-2</c:v>
                </c:pt>
                <c:pt idx="3">
                  <c:v>0.10784313725490197</c:v>
                </c:pt>
                <c:pt idx="4">
                  <c:v>7.8431372549019607E-2</c:v>
                </c:pt>
                <c:pt idx="5">
                  <c:v>0.12745098039215685</c:v>
                </c:pt>
                <c:pt idx="6">
                  <c:v>0.12745098039215685</c:v>
                </c:pt>
                <c:pt idx="7">
                  <c:v>0.12091503267973856</c:v>
                </c:pt>
                <c:pt idx="8">
                  <c:v>8.1699346405228759E-2</c:v>
                </c:pt>
                <c:pt idx="9">
                  <c:v>8.8235294117647065E-2</c:v>
                </c:pt>
                <c:pt idx="10">
                  <c:v>0.1437908496732026</c:v>
                </c:pt>
              </c:numCache>
            </c:numRef>
          </c:val>
          <c:extLst xmlns:c16r2="http://schemas.microsoft.com/office/drawing/2015/06/chart">
            <c:ext xmlns:c16="http://schemas.microsoft.com/office/drawing/2014/chart" uri="{C3380CC4-5D6E-409C-BE32-E72D297353CC}">
              <c16:uniqueId val="{00000000-9663-41CF-BDA4-ACC41D691CB3}"/>
            </c:ext>
          </c:extLst>
        </c:ser>
        <c:dLbls>
          <c:showLegendKey val="0"/>
          <c:showVal val="0"/>
          <c:showCatName val="0"/>
          <c:showSerName val="0"/>
          <c:showPercent val="0"/>
          <c:showBubbleSize val="0"/>
        </c:dLbls>
        <c:gapWidth val="150"/>
        <c:axId val="296394752"/>
        <c:axId val="296396288"/>
      </c:barChart>
      <c:catAx>
        <c:axId val="296394752"/>
        <c:scaling>
          <c:orientation val="maxMin"/>
        </c:scaling>
        <c:delete val="0"/>
        <c:axPos val="l"/>
        <c:numFmt formatCode="General" sourceLinked="0"/>
        <c:majorTickMark val="out"/>
        <c:minorTickMark val="none"/>
        <c:tickLblPos val="nextTo"/>
        <c:crossAx val="296396288"/>
        <c:crosses val="autoZero"/>
        <c:auto val="1"/>
        <c:lblAlgn val="ctr"/>
        <c:lblOffset val="100"/>
        <c:noMultiLvlLbl val="0"/>
      </c:catAx>
      <c:valAx>
        <c:axId val="296396288"/>
        <c:scaling>
          <c:orientation val="minMax"/>
        </c:scaling>
        <c:delete val="1"/>
        <c:axPos val="t"/>
        <c:numFmt formatCode="0.0%" sourceLinked="1"/>
        <c:majorTickMark val="out"/>
        <c:minorTickMark val="none"/>
        <c:tickLblPos val="nextTo"/>
        <c:crossAx val="296394752"/>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27</a:t>
            </a:r>
            <a:endParaRPr lang="en-US" sz="1200"/>
          </a:p>
          <a:p>
            <a:pPr>
              <a:defRPr sz="1200"/>
            </a:pPr>
            <a:r>
              <a:rPr lang="el-GR" sz="1200"/>
              <a:t>Δείκτης Προσδοκιών Ελληνικών ΜμΕ</a:t>
            </a:r>
          </a:p>
        </c:rich>
      </c:tx>
      <c:overlay val="0"/>
    </c:title>
    <c:autoTitleDeleted val="0"/>
    <c:plotArea>
      <c:layout/>
      <c:lineChart>
        <c:grouping val="standard"/>
        <c:varyColors val="0"/>
        <c:ser>
          <c:idx val="0"/>
          <c:order val="0"/>
          <c:tx>
            <c:strRef>
              <c:f>'ΓΡΑΦΗΜΑ 1'!#REF!</c:f>
              <c:strCache>
                <c:ptCount val="1"/>
                <c:pt idx="0">
                  <c:v>#REF!</c:v>
                </c:pt>
              </c:strCache>
            </c:strRef>
          </c:tx>
          <c:marker>
            <c:symbol val="none"/>
          </c:marker>
          <c:cat>
            <c:strRef>
              <c:f>'ΓΡΑΦΗΜΑ 27'!$B$2:$V$2</c:f>
              <c:strCache>
                <c:ptCount val="21"/>
                <c:pt idx="0">
                  <c:v>Β2012</c:v>
                </c:pt>
                <c:pt idx="1">
                  <c:v>Α2013</c:v>
                </c:pt>
                <c:pt idx="2">
                  <c:v>Β2013</c:v>
                </c:pt>
                <c:pt idx="3">
                  <c:v>Α2014</c:v>
                </c:pt>
                <c:pt idx="4">
                  <c:v>Β2014</c:v>
                </c:pt>
                <c:pt idx="5">
                  <c:v>Α2015</c:v>
                </c:pt>
                <c:pt idx="6">
                  <c:v>Β2015</c:v>
                </c:pt>
                <c:pt idx="7">
                  <c:v>Α2016</c:v>
                </c:pt>
                <c:pt idx="8">
                  <c:v>Β2016</c:v>
                </c:pt>
                <c:pt idx="9">
                  <c:v>Α2017</c:v>
                </c:pt>
                <c:pt idx="10">
                  <c:v>Β2017</c:v>
                </c:pt>
                <c:pt idx="11">
                  <c:v>Α2018</c:v>
                </c:pt>
                <c:pt idx="12">
                  <c:v>Β2018</c:v>
                </c:pt>
                <c:pt idx="13">
                  <c:v>Α2019</c:v>
                </c:pt>
                <c:pt idx="14">
                  <c:v>Β2019</c:v>
                </c:pt>
                <c:pt idx="15">
                  <c:v>Α2020</c:v>
                </c:pt>
                <c:pt idx="16">
                  <c:v>Β2020</c:v>
                </c:pt>
                <c:pt idx="17">
                  <c:v>Α2021</c:v>
                </c:pt>
                <c:pt idx="18">
                  <c:v>Β2021</c:v>
                </c:pt>
                <c:pt idx="19">
                  <c:v>Α2022</c:v>
                </c:pt>
                <c:pt idx="20">
                  <c:v>Β2022</c:v>
                </c:pt>
              </c:strCache>
            </c:strRef>
          </c:cat>
          <c:val>
            <c:numRef>
              <c:f>'ΓΡΑΦΗΜΑ 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0-FF31-4FAB-AC3A-70004D9BB97D}"/>
            </c:ext>
          </c:extLst>
        </c:ser>
        <c:ser>
          <c:idx val="1"/>
          <c:order val="1"/>
          <c:tx>
            <c:strRef>
              <c:f>'ΓΡΑΦΗΜΑ 27'!$A$3</c:f>
              <c:strCache>
                <c:ptCount val="1"/>
                <c:pt idx="0">
                  <c:v>Δείκτης Προσδοκιών Ελληνικών ΜΜΕ</c:v>
                </c:pt>
              </c:strCache>
            </c:strRef>
          </c:tx>
          <c:marker>
            <c:symbol val="none"/>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27'!$B$2:$V$2</c:f>
              <c:strCache>
                <c:ptCount val="21"/>
                <c:pt idx="0">
                  <c:v>Β2012</c:v>
                </c:pt>
                <c:pt idx="1">
                  <c:v>Α2013</c:v>
                </c:pt>
                <c:pt idx="2">
                  <c:v>Β2013</c:v>
                </c:pt>
                <c:pt idx="3">
                  <c:v>Α2014</c:v>
                </c:pt>
                <c:pt idx="4">
                  <c:v>Β2014</c:v>
                </c:pt>
                <c:pt idx="5">
                  <c:v>Α2015</c:v>
                </c:pt>
                <c:pt idx="6">
                  <c:v>Β2015</c:v>
                </c:pt>
                <c:pt idx="7">
                  <c:v>Α2016</c:v>
                </c:pt>
                <c:pt idx="8">
                  <c:v>Β2016</c:v>
                </c:pt>
                <c:pt idx="9">
                  <c:v>Α2017</c:v>
                </c:pt>
                <c:pt idx="10">
                  <c:v>Β2017</c:v>
                </c:pt>
                <c:pt idx="11">
                  <c:v>Α2018</c:v>
                </c:pt>
                <c:pt idx="12">
                  <c:v>Β2018</c:v>
                </c:pt>
                <c:pt idx="13">
                  <c:v>Α2019</c:v>
                </c:pt>
                <c:pt idx="14">
                  <c:v>Β2019</c:v>
                </c:pt>
                <c:pt idx="15">
                  <c:v>Α2020</c:v>
                </c:pt>
                <c:pt idx="16">
                  <c:v>Β2020</c:v>
                </c:pt>
                <c:pt idx="17">
                  <c:v>Α2021</c:v>
                </c:pt>
                <c:pt idx="18">
                  <c:v>Β2021</c:v>
                </c:pt>
                <c:pt idx="19">
                  <c:v>Α2022</c:v>
                </c:pt>
                <c:pt idx="20">
                  <c:v>Β2022</c:v>
                </c:pt>
              </c:strCache>
            </c:strRef>
          </c:cat>
          <c:val>
            <c:numRef>
              <c:f>'ΓΡΑΦΗΜΑ 27'!$B$3:$V$3</c:f>
              <c:numCache>
                <c:formatCode>0.0</c:formatCode>
                <c:ptCount val="21"/>
                <c:pt idx="0">
                  <c:v>29.826464208242953</c:v>
                </c:pt>
                <c:pt idx="1">
                  <c:v>33.78947368421052</c:v>
                </c:pt>
                <c:pt idx="2">
                  <c:v>27.321237993596597</c:v>
                </c:pt>
                <c:pt idx="3">
                  <c:v>45.230439442658088</c:v>
                </c:pt>
                <c:pt idx="4">
                  <c:v>38.55421686746989</c:v>
                </c:pt>
                <c:pt idx="5">
                  <c:v>63.403263403263402</c:v>
                </c:pt>
                <c:pt idx="6">
                  <c:v>27.14592274678111</c:v>
                </c:pt>
                <c:pt idx="7">
                  <c:v>33.405875952121875</c:v>
                </c:pt>
                <c:pt idx="8">
                  <c:v>34.254143646408835</c:v>
                </c:pt>
                <c:pt idx="9">
                  <c:v>36.432432432432435</c:v>
                </c:pt>
                <c:pt idx="10">
                  <c:v>48.095756256800875</c:v>
                </c:pt>
                <c:pt idx="11">
                  <c:v>59.042553191489361</c:v>
                </c:pt>
                <c:pt idx="12">
                  <c:v>59.085963003264418</c:v>
                </c:pt>
                <c:pt idx="13">
                  <c:v>68.796592119275829</c:v>
                </c:pt>
                <c:pt idx="14">
                  <c:v>80.720092915214863</c:v>
                </c:pt>
                <c:pt idx="15">
                  <c:v>82.224645583424206</c:v>
                </c:pt>
                <c:pt idx="16">
                  <c:v>41.638981173864899</c:v>
                </c:pt>
                <c:pt idx="17">
                  <c:v>44.073275862068961</c:v>
                </c:pt>
                <c:pt idx="18">
                  <c:v>54.919908466819223</c:v>
                </c:pt>
                <c:pt idx="19">
                  <c:v>54.117647058823529</c:v>
                </c:pt>
                <c:pt idx="20">
                  <c:v>47.952586206896548</c:v>
                </c:pt>
              </c:numCache>
            </c:numRef>
          </c:val>
          <c:smooth val="0"/>
          <c:extLst xmlns:c16r2="http://schemas.microsoft.com/office/drawing/2015/06/chart">
            <c:ext xmlns:c16="http://schemas.microsoft.com/office/drawing/2014/chart" uri="{C3380CC4-5D6E-409C-BE32-E72D297353CC}">
              <c16:uniqueId val="{00000001-FF31-4FAB-AC3A-70004D9BB97D}"/>
            </c:ext>
          </c:extLst>
        </c:ser>
        <c:dLbls>
          <c:showLegendKey val="0"/>
          <c:showVal val="0"/>
          <c:showCatName val="0"/>
          <c:showSerName val="0"/>
          <c:showPercent val="0"/>
          <c:showBubbleSize val="0"/>
        </c:dLbls>
        <c:marker val="1"/>
        <c:smooth val="0"/>
        <c:axId val="296685952"/>
        <c:axId val="296687488"/>
      </c:lineChart>
      <c:catAx>
        <c:axId val="296685952"/>
        <c:scaling>
          <c:orientation val="minMax"/>
        </c:scaling>
        <c:delete val="0"/>
        <c:axPos val="b"/>
        <c:numFmt formatCode="General" sourceLinked="0"/>
        <c:majorTickMark val="out"/>
        <c:minorTickMark val="none"/>
        <c:tickLblPos val="nextTo"/>
        <c:txPr>
          <a:bodyPr/>
          <a:lstStyle/>
          <a:p>
            <a:pPr>
              <a:defRPr sz="700"/>
            </a:pPr>
            <a:endParaRPr lang="el-GR"/>
          </a:p>
        </c:txPr>
        <c:crossAx val="296687488"/>
        <c:crosses val="autoZero"/>
        <c:auto val="1"/>
        <c:lblAlgn val="ctr"/>
        <c:lblOffset val="100"/>
        <c:noMultiLvlLbl val="0"/>
      </c:catAx>
      <c:valAx>
        <c:axId val="296687488"/>
        <c:scaling>
          <c:orientation val="minMax"/>
          <c:max val="100"/>
        </c:scaling>
        <c:delete val="0"/>
        <c:axPos val="l"/>
        <c:majorGridlines/>
        <c:numFmt formatCode="General" sourceLinked="1"/>
        <c:majorTickMark val="out"/>
        <c:minorTickMark val="none"/>
        <c:tickLblPos val="nextTo"/>
        <c:crossAx val="296685952"/>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25 </a:t>
            </a:r>
          </a:p>
          <a:p>
            <a:pPr>
              <a:defRPr sz="1100"/>
            </a:pPr>
            <a:r>
              <a:rPr lang="el-GR" sz="1100"/>
              <a:t>ΕΚΤΙΜΗΣΕΙΣ ΓΙΑ ΤΟ ΔΕΥΤΕΡΟ ΕΞΑΜΗΝΟ ΤΟΥ 2022</a:t>
            </a:r>
          </a:p>
        </c:rich>
      </c:tx>
      <c:overlay val="0"/>
    </c:title>
    <c:autoTitleDeleted val="0"/>
    <c:plotArea>
      <c:layout/>
      <c:barChart>
        <c:barDir val="bar"/>
        <c:grouping val="percentStacked"/>
        <c:varyColors val="0"/>
        <c:ser>
          <c:idx val="0"/>
          <c:order val="0"/>
          <c:tx>
            <c:strRef>
              <c:f>'ΓΡΑΦΗΜΑ 28'!$A$3</c:f>
              <c:strCache>
                <c:ptCount val="1"/>
                <c:pt idx="0">
                  <c:v>Θα αυξηθεί/ουν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28'!$B$3:$E$3</c:f>
              <c:numCache>
                <c:formatCode>0.0%</c:formatCode>
                <c:ptCount val="4"/>
                <c:pt idx="0">
                  <c:v>0.18976279650436953</c:v>
                </c:pt>
                <c:pt idx="1">
                  <c:v>0.18976279650436953</c:v>
                </c:pt>
                <c:pt idx="2">
                  <c:v>0.20724094881398253</c:v>
                </c:pt>
                <c:pt idx="3">
                  <c:v>0.20349563046192259</c:v>
                </c:pt>
              </c:numCache>
            </c:numRef>
          </c:val>
          <c:extLst xmlns:c16r2="http://schemas.microsoft.com/office/drawing/2015/06/chart">
            <c:ext xmlns:c16="http://schemas.microsoft.com/office/drawing/2014/chart" uri="{C3380CC4-5D6E-409C-BE32-E72D297353CC}">
              <c16:uniqueId val="{00000000-486A-4043-AF52-361C70E0BA98}"/>
            </c:ext>
          </c:extLst>
        </c:ser>
        <c:ser>
          <c:idx val="1"/>
          <c:order val="1"/>
          <c:tx>
            <c:strRef>
              <c:f>'ΓΡΑΦΗΜΑ 28'!$A$4</c:f>
              <c:strCache>
                <c:ptCount val="1"/>
                <c:pt idx="0">
                  <c:v>Δεν θα μεταβληθεί/ουν</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28'!$B$4:$E$4</c:f>
              <c:numCache>
                <c:formatCode>0.0%</c:formatCode>
                <c:ptCount val="4"/>
                <c:pt idx="0">
                  <c:v>0.2696629213483146</c:v>
                </c:pt>
                <c:pt idx="1">
                  <c:v>0.25593008739076156</c:v>
                </c:pt>
                <c:pt idx="2">
                  <c:v>0.25842696629213485</c:v>
                </c:pt>
                <c:pt idx="3">
                  <c:v>0.27340823970037453</c:v>
                </c:pt>
              </c:numCache>
            </c:numRef>
          </c:val>
          <c:extLst xmlns:c16r2="http://schemas.microsoft.com/office/drawing/2015/06/chart">
            <c:ext xmlns:c16="http://schemas.microsoft.com/office/drawing/2014/chart" uri="{C3380CC4-5D6E-409C-BE32-E72D297353CC}">
              <c16:uniqueId val="{00000001-486A-4043-AF52-361C70E0BA98}"/>
            </c:ext>
          </c:extLst>
        </c:ser>
        <c:ser>
          <c:idx val="2"/>
          <c:order val="2"/>
          <c:tx>
            <c:strRef>
              <c:f>'ΓΡΑΦΗΜΑ 28'!$A$5</c:f>
              <c:strCache>
                <c:ptCount val="1"/>
                <c:pt idx="0">
                  <c:v>Θα μειωθεί/ουν</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28'!$B$5:$E$5</c:f>
              <c:numCache>
                <c:formatCode>0.0%</c:formatCode>
                <c:ptCount val="4"/>
                <c:pt idx="0">
                  <c:v>0.47440699126092384</c:v>
                </c:pt>
                <c:pt idx="1">
                  <c:v>0.48938826466916352</c:v>
                </c:pt>
                <c:pt idx="2">
                  <c:v>0.47191011235955055</c:v>
                </c:pt>
                <c:pt idx="3">
                  <c:v>0.46192259675405745</c:v>
                </c:pt>
              </c:numCache>
            </c:numRef>
          </c:val>
          <c:extLst xmlns:c16r2="http://schemas.microsoft.com/office/drawing/2015/06/chart">
            <c:ext xmlns:c16="http://schemas.microsoft.com/office/drawing/2014/chart" uri="{C3380CC4-5D6E-409C-BE32-E72D297353CC}">
              <c16:uniqueId val="{00000002-486A-4043-AF52-361C70E0BA98}"/>
            </c:ext>
          </c:extLst>
        </c:ser>
        <c:ser>
          <c:idx val="3"/>
          <c:order val="3"/>
          <c:tx>
            <c:strRef>
              <c:f>'ΓΡΑΦΗΜΑ 28'!$A$6</c:f>
              <c:strCache>
                <c:ptCount val="1"/>
                <c:pt idx="0">
                  <c:v>ΔΓ/ΔΑ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28'!$B$2:$E$2</c:f>
              <c:strCache>
                <c:ptCount val="4"/>
                <c:pt idx="0">
                  <c:v>Παραγγελίες</c:v>
                </c:pt>
                <c:pt idx="1">
                  <c:v>Ρευστότητα</c:v>
                </c:pt>
                <c:pt idx="2">
                  <c:v>Ζήτηση</c:v>
                </c:pt>
                <c:pt idx="3">
                  <c:v>Κύκλος εργασιών</c:v>
                </c:pt>
              </c:strCache>
            </c:strRef>
          </c:cat>
          <c:val>
            <c:numRef>
              <c:f>'ΓΡΑΦΗΜΑ 28'!$B$6:$E$6</c:f>
              <c:numCache>
                <c:formatCode>0.0%</c:formatCode>
                <c:ptCount val="4"/>
                <c:pt idx="0">
                  <c:v>6.6167290886392005E-2</c:v>
                </c:pt>
                <c:pt idx="1">
                  <c:v>6.4918851435705374E-2</c:v>
                </c:pt>
                <c:pt idx="2">
                  <c:v>6.2421972534332085E-2</c:v>
                </c:pt>
                <c:pt idx="3">
                  <c:v>6.117353308364544E-2</c:v>
                </c:pt>
              </c:numCache>
            </c:numRef>
          </c:val>
          <c:extLst xmlns:c16r2="http://schemas.microsoft.com/office/drawing/2015/06/chart">
            <c:ext xmlns:c16="http://schemas.microsoft.com/office/drawing/2014/chart" uri="{C3380CC4-5D6E-409C-BE32-E72D297353CC}">
              <c16:uniqueId val="{00000003-486A-4043-AF52-361C70E0BA98}"/>
            </c:ext>
          </c:extLst>
        </c:ser>
        <c:dLbls>
          <c:showLegendKey val="0"/>
          <c:showVal val="0"/>
          <c:showCatName val="0"/>
          <c:showSerName val="0"/>
          <c:showPercent val="0"/>
          <c:showBubbleSize val="0"/>
        </c:dLbls>
        <c:gapWidth val="75"/>
        <c:overlap val="100"/>
        <c:axId val="296803712"/>
        <c:axId val="296817792"/>
      </c:barChart>
      <c:catAx>
        <c:axId val="296803712"/>
        <c:scaling>
          <c:orientation val="minMax"/>
        </c:scaling>
        <c:delete val="0"/>
        <c:axPos val="l"/>
        <c:numFmt formatCode="General" sourceLinked="0"/>
        <c:majorTickMark val="none"/>
        <c:minorTickMark val="none"/>
        <c:tickLblPos val="nextTo"/>
        <c:crossAx val="296817792"/>
        <c:crosses val="autoZero"/>
        <c:auto val="1"/>
        <c:lblAlgn val="ctr"/>
        <c:lblOffset val="100"/>
        <c:noMultiLvlLbl val="0"/>
      </c:catAx>
      <c:valAx>
        <c:axId val="296817792"/>
        <c:scaling>
          <c:orientation val="minMax"/>
        </c:scaling>
        <c:delete val="0"/>
        <c:axPos val="b"/>
        <c:majorGridlines/>
        <c:numFmt formatCode="0%" sourceLinked="1"/>
        <c:majorTickMark val="none"/>
        <c:minorTickMark val="none"/>
        <c:tickLblPos val="nextTo"/>
        <c:spPr>
          <a:ln w="9525">
            <a:noFill/>
          </a:ln>
        </c:spPr>
        <c:crossAx val="296803712"/>
        <c:crosses val="autoZero"/>
        <c:crossBetween val="between"/>
      </c:valAx>
    </c:plotArea>
    <c:legend>
      <c:legendPos val="b"/>
      <c:layout>
        <c:manualLayout>
          <c:xMode val="edge"/>
          <c:yMode val="edge"/>
          <c:x val="0.1707724266075748"/>
          <c:y val="0.88850503062117236"/>
          <c:w val="0.7990113404255057"/>
          <c:h val="8.3717191601049873E-2"/>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a:t>
            </a:r>
            <a:r>
              <a:rPr lang="el-GR" sz="1100" baseline="0"/>
              <a:t> 29</a:t>
            </a:r>
          </a:p>
          <a:p>
            <a:pPr>
              <a:defRPr sz="1100"/>
            </a:pPr>
            <a:r>
              <a:rPr lang="el-GR" sz="1100"/>
              <a:t>Εκτίμηση επιχειρήσεων για το προσωπικό τους το δευτερο εξάμηνο του 2022</a:t>
            </a:r>
          </a:p>
        </c:rich>
      </c:tx>
      <c:overlay val="0"/>
    </c:title>
    <c:autoTitleDeleted val="0"/>
    <c:plotArea>
      <c:layout/>
      <c:pieChart>
        <c:varyColors val="1"/>
        <c:ser>
          <c:idx val="0"/>
          <c:order val="0"/>
          <c:tx>
            <c:strRef>
              <c:f>'ΓΡΑΦΗΜΑ 29'!$B$3</c:f>
              <c:strCache>
                <c:ptCount val="1"/>
                <c:pt idx="0">
                  <c:v>Εκτίμηση επιχειρήσεων για το προσωπικό τους το δευτερο εξάμηνο του 2022</c:v>
                </c:pt>
              </c:strCache>
            </c:strRef>
          </c:tx>
          <c:dPt>
            <c:idx val="1"/>
            <c:bubble3D val="0"/>
            <c:spPr>
              <a:solidFill>
                <a:srgbClr val="92D050"/>
              </a:solidFill>
            </c:spPr>
            <c:extLst xmlns:c16r2="http://schemas.microsoft.com/office/drawing/2015/06/chart">
              <c:ext xmlns:c16="http://schemas.microsoft.com/office/drawing/2014/chart" uri="{C3380CC4-5D6E-409C-BE32-E72D297353CC}">
                <c16:uniqueId val="{00000001-87C7-4DEE-AE9D-CCCFDA103D2C}"/>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3-87C7-4DEE-AE9D-CCCFDA103D2C}"/>
              </c:ext>
            </c:extLst>
          </c:dPt>
          <c:dLbls>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'ΓΡΑΦΗΜΑ 29'!$A$4:$A$7</c:f>
              <c:strCache>
                <c:ptCount val="4"/>
                <c:pt idx="0">
                  <c:v>Θα αυξηθεί </c:v>
                </c:pt>
                <c:pt idx="1">
                  <c:v>Δεν θα μεταβληθεί</c:v>
                </c:pt>
                <c:pt idx="2">
                  <c:v>Θα μειωθεί </c:v>
                </c:pt>
                <c:pt idx="3">
                  <c:v>ΔΞ/ΔΑ</c:v>
                </c:pt>
              </c:strCache>
            </c:strRef>
          </c:cat>
          <c:val>
            <c:numRef>
              <c:f>'ΓΡΑΦΗΜΑ 29'!$B$4:$B$7</c:f>
              <c:numCache>
                <c:formatCode>0.0%</c:formatCode>
                <c:ptCount val="4"/>
                <c:pt idx="0">
                  <c:v>7.8651685393258425E-2</c:v>
                </c:pt>
                <c:pt idx="1">
                  <c:v>0.81897627965043696</c:v>
                </c:pt>
                <c:pt idx="2">
                  <c:v>6.741573033707865E-2</c:v>
                </c:pt>
                <c:pt idx="3">
                  <c:v>3.495630461922597E-2</c:v>
                </c:pt>
              </c:numCache>
            </c:numRef>
          </c:val>
          <c:extLst xmlns:c16r2="http://schemas.microsoft.com/office/drawing/2015/06/chart">
            <c:ext xmlns:c16="http://schemas.microsoft.com/office/drawing/2014/chart" uri="{C3380CC4-5D6E-409C-BE32-E72D297353CC}">
              <c16:uniqueId val="{00000004-87C7-4DEE-AE9D-CCCFDA103D2C}"/>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3</a:t>
            </a:r>
            <a:r>
              <a:rPr lang="el-GR" sz="1200"/>
              <a:t> </a:t>
            </a:r>
            <a:r>
              <a:rPr lang="el-GR" sz="1200" baseline="0"/>
              <a:t> </a:t>
            </a:r>
          </a:p>
          <a:p>
            <a:pPr>
              <a:defRPr sz="1200"/>
            </a:pPr>
            <a:r>
              <a:rPr lang="el-GR" sz="1200"/>
              <a:t>Ποσοστό αύξησης κύκλου εργασιών πρώτου εξαμήνου 2022 </a:t>
            </a:r>
          </a:p>
          <a:p>
            <a:pPr>
              <a:defRPr sz="1200"/>
            </a:pPr>
            <a:r>
              <a:rPr lang="el-GR" sz="800"/>
              <a:t>- βάση οι επιχειρήσεις που δήλωσαν ότι αυξήθηκε ο κύκλος εργασιών-</a:t>
            </a:r>
          </a:p>
        </c:rich>
      </c:tx>
      <c:overlay val="0"/>
    </c:title>
    <c:autoTitleDeleted val="0"/>
    <c:plotArea>
      <c:layout/>
      <c:barChart>
        <c:barDir val="bar"/>
        <c:grouping val="clustered"/>
        <c:varyColors val="0"/>
        <c:ser>
          <c:idx val="0"/>
          <c:order val="0"/>
          <c:tx>
            <c:strRef>
              <c:f>'ΓΡΑΦΗΜΑ 3'!$B$4</c:f>
              <c:strCache>
                <c:ptCount val="1"/>
                <c:pt idx="0">
                  <c:v>Ποσοστό αύξησης κύκλου εργασιών πρώτου εξαμήνου 2022 - βάση οι επιχειρήσεις που δήλωσαν ότι αυξήθηκε ο κύκλος εργασιών-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3'!$A$5:$A$9</c:f>
              <c:strCache>
                <c:ptCount val="5"/>
                <c:pt idx="0">
                  <c:v>Έως 10%</c:v>
                </c:pt>
                <c:pt idx="1">
                  <c:v>11-20%</c:v>
                </c:pt>
                <c:pt idx="2">
                  <c:v>21-40%</c:v>
                </c:pt>
                <c:pt idx="3">
                  <c:v>Άνω του 40%</c:v>
                </c:pt>
                <c:pt idx="4">
                  <c:v>ΔΓ/ΔΑ</c:v>
                </c:pt>
              </c:strCache>
            </c:strRef>
          </c:cat>
          <c:val>
            <c:numRef>
              <c:f>'ΓΡΑΦΗΜΑ 3'!$B$5:$B$9</c:f>
              <c:numCache>
                <c:formatCode>0.0%</c:formatCode>
                <c:ptCount val="5"/>
                <c:pt idx="0">
                  <c:v>0.38659793814432991</c:v>
                </c:pt>
                <c:pt idx="1">
                  <c:v>0.26288659793814434</c:v>
                </c:pt>
                <c:pt idx="2">
                  <c:v>0.14432989690721648</c:v>
                </c:pt>
                <c:pt idx="3">
                  <c:v>7.2164948453608241E-2</c:v>
                </c:pt>
                <c:pt idx="4">
                  <c:v>0.13402061855670103</c:v>
                </c:pt>
              </c:numCache>
            </c:numRef>
          </c:val>
          <c:extLst xmlns:c16r2="http://schemas.microsoft.com/office/drawing/2015/06/chart">
            <c:ext xmlns:c16="http://schemas.microsoft.com/office/drawing/2014/chart" uri="{C3380CC4-5D6E-409C-BE32-E72D297353CC}">
              <c16:uniqueId val="{00000000-C01A-48EA-A34E-F537F65FC6EA}"/>
            </c:ext>
          </c:extLst>
        </c:ser>
        <c:dLbls>
          <c:showLegendKey val="0"/>
          <c:showVal val="0"/>
          <c:showCatName val="0"/>
          <c:showSerName val="0"/>
          <c:showPercent val="0"/>
          <c:showBubbleSize val="0"/>
        </c:dLbls>
        <c:gapWidth val="150"/>
        <c:axId val="309866880"/>
        <c:axId val="309868800"/>
      </c:barChart>
      <c:catAx>
        <c:axId val="309866880"/>
        <c:scaling>
          <c:orientation val="maxMin"/>
        </c:scaling>
        <c:delete val="0"/>
        <c:axPos val="l"/>
        <c:numFmt formatCode="General" sourceLinked="0"/>
        <c:majorTickMark val="out"/>
        <c:minorTickMark val="none"/>
        <c:tickLblPos val="nextTo"/>
        <c:crossAx val="309868800"/>
        <c:crosses val="autoZero"/>
        <c:auto val="1"/>
        <c:lblAlgn val="ctr"/>
        <c:lblOffset val="100"/>
        <c:noMultiLvlLbl val="0"/>
      </c:catAx>
      <c:valAx>
        <c:axId val="309868800"/>
        <c:scaling>
          <c:orientation val="minMax"/>
        </c:scaling>
        <c:delete val="1"/>
        <c:axPos val="t"/>
        <c:numFmt formatCode="0.0%" sourceLinked="1"/>
        <c:majorTickMark val="out"/>
        <c:minorTickMark val="none"/>
        <c:tickLblPos val="nextTo"/>
        <c:crossAx val="309866880"/>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Γράφημα 30</a:t>
            </a:r>
          </a:p>
          <a:p>
            <a:pPr>
              <a:defRPr/>
            </a:pPr>
            <a:r>
              <a:rPr lang="el-GR" sz="1200" b="1" i="0" baseline="0">
                <a:effectLst/>
              </a:rPr>
              <a:t>Μεταβολή τιμών αγαθών/υπηρεσίων επιχειρήσεων  </a:t>
            </a:r>
          </a:p>
          <a:p>
            <a:pPr>
              <a:defRPr/>
            </a:pPr>
            <a:r>
              <a:rPr lang="el-GR" sz="1200" b="1" i="0" baseline="0">
                <a:effectLst/>
              </a:rPr>
              <a:t>Εκτίμηση επόμενου εξαμήνου </a:t>
            </a:r>
          </a:p>
          <a:p>
            <a:pPr>
              <a:defRPr/>
            </a:pPr>
            <a:r>
              <a:rPr lang="el-GR" sz="800" b="1" i="0" baseline="0">
                <a:effectLst/>
              </a:rPr>
              <a:t>- Διαχρονικό Γράφημα-</a:t>
            </a:r>
            <a:endParaRPr lang="el-GR" sz="800">
              <a:effectLst/>
            </a:endParaRPr>
          </a:p>
        </c:rich>
      </c:tx>
      <c:overlay val="0"/>
    </c:title>
    <c:autoTitleDeleted val="0"/>
    <c:plotArea>
      <c:layout/>
      <c:barChart>
        <c:barDir val="col"/>
        <c:grouping val="percentStacked"/>
        <c:varyColors val="0"/>
        <c:ser>
          <c:idx val="0"/>
          <c:order val="0"/>
          <c:tx>
            <c:strRef>
              <c:f>'ΓΡΑΦΗΜΑ 30'!$B$1</c:f>
              <c:strCache>
                <c:ptCount val="1"/>
                <c:pt idx="0">
                  <c:v>Θα αυξηθούν </c:v>
                </c:pt>
              </c:strCache>
            </c:strRef>
          </c:tx>
          <c:spPr>
            <a:solidFill>
              <a:srgbClr val="C00000"/>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30'!$B$2:$B$8</c:f>
              <c:numCache>
                <c:formatCode>0.0</c:formatCode>
                <c:ptCount val="7"/>
                <c:pt idx="0">
                  <c:v>4.838709677419355</c:v>
                </c:pt>
                <c:pt idx="1">
                  <c:v>9.3283582089552244</c:v>
                </c:pt>
                <c:pt idx="2">
                  <c:v>3.2378580323785804</c:v>
                </c:pt>
                <c:pt idx="3">
                  <c:v>9.1999999999999993</c:v>
                </c:pt>
                <c:pt idx="4">
                  <c:v>22</c:v>
                </c:pt>
                <c:pt idx="5">
                  <c:v>48.9</c:v>
                </c:pt>
                <c:pt idx="6">
                  <c:v>38.700000000000003</c:v>
                </c:pt>
              </c:numCache>
            </c:numRef>
          </c:val>
          <c:extLst xmlns:c16r2="http://schemas.microsoft.com/office/drawing/2015/06/chart">
            <c:ext xmlns:c16="http://schemas.microsoft.com/office/drawing/2014/chart" uri="{C3380CC4-5D6E-409C-BE32-E72D297353CC}">
              <c16:uniqueId val="{00000000-2CA2-47E0-94A1-CC218322E0D2}"/>
            </c:ext>
          </c:extLst>
        </c:ser>
        <c:ser>
          <c:idx val="1"/>
          <c:order val="1"/>
          <c:tx>
            <c:strRef>
              <c:f>'ΓΡΑΦΗΜΑ 30'!$C$1</c:f>
              <c:strCache>
                <c:ptCount val="1"/>
                <c:pt idx="0">
                  <c:v>Θα μειωθούν</c:v>
                </c:pt>
              </c:strCache>
            </c:strRef>
          </c:tx>
          <c:spPr>
            <a:solidFill>
              <a:schemeClr val="accent1"/>
            </a:solidFill>
            <a:ln>
              <a:solidFill>
                <a:schemeClr val="tx2"/>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30'!$C$2:$C$8</c:f>
              <c:numCache>
                <c:formatCode>0.0</c:formatCode>
                <c:ptCount val="7"/>
                <c:pt idx="0">
                  <c:v>8.1885856079404462</c:v>
                </c:pt>
                <c:pt idx="1">
                  <c:v>7.9601990049751246</c:v>
                </c:pt>
                <c:pt idx="2">
                  <c:v>21.295143212951434</c:v>
                </c:pt>
                <c:pt idx="3">
                  <c:v>15.5</c:v>
                </c:pt>
                <c:pt idx="4">
                  <c:v>8.1999999999999993</c:v>
                </c:pt>
                <c:pt idx="5">
                  <c:v>4.4000000000000004</c:v>
                </c:pt>
                <c:pt idx="6">
                  <c:v>6.74</c:v>
                </c:pt>
              </c:numCache>
            </c:numRef>
          </c:val>
          <c:extLst xmlns:c16r2="http://schemas.microsoft.com/office/drawing/2015/06/chart">
            <c:ext xmlns:c16="http://schemas.microsoft.com/office/drawing/2014/chart" uri="{C3380CC4-5D6E-409C-BE32-E72D297353CC}">
              <c16:uniqueId val="{00000001-2CA2-47E0-94A1-CC218322E0D2}"/>
            </c:ext>
          </c:extLst>
        </c:ser>
        <c:ser>
          <c:idx val="2"/>
          <c:order val="2"/>
          <c:tx>
            <c:strRef>
              <c:f>'ΓΡΑΦΗΜΑ 30'!$D$1</c:f>
              <c:strCache>
                <c:ptCount val="1"/>
                <c:pt idx="0">
                  <c:v>Θα παραμείνουν ίδιες</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CA2-47E0-94A1-CC218322E0D2}"/>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A2-47E0-94A1-CC218322E0D2}"/>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CA2-47E0-94A1-CC218322E0D2}"/>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A2-47E0-94A1-CC218322E0D2}"/>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CA2-47E0-94A1-CC218322E0D2}"/>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CA2-47E0-94A1-CC218322E0D2}"/>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CA2-47E0-94A1-CC218322E0D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30'!$D$2:$D$8</c:f>
              <c:numCache>
                <c:formatCode>0.0</c:formatCode>
                <c:ptCount val="7"/>
                <c:pt idx="0">
                  <c:v>79.776674937965254</c:v>
                </c:pt>
                <c:pt idx="1">
                  <c:v>78.980099502487562</c:v>
                </c:pt>
                <c:pt idx="2">
                  <c:v>68.493150684931507</c:v>
                </c:pt>
                <c:pt idx="3">
                  <c:v>71.400000000000006</c:v>
                </c:pt>
                <c:pt idx="4">
                  <c:v>61.8</c:v>
                </c:pt>
                <c:pt idx="5">
                  <c:v>43.6</c:v>
                </c:pt>
                <c:pt idx="6">
                  <c:v>43.95</c:v>
                </c:pt>
              </c:numCache>
            </c:numRef>
          </c:val>
          <c:extLst xmlns:c16r2="http://schemas.microsoft.com/office/drawing/2015/06/chart">
            <c:ext xmlns:c16="http://schemas.microsoft.com/office/drawing/2014/chart" uri="{C3380CC4-5D6E-409C-BE32-E72D297353CC}">
              <c16:uniqueId val="{00000009-2CA2-47E0-94A1-CC218322E0D2}"/>
            </c:ext>
          </c:extLst>
        </c:ser>
        <c:ser>
          <c:idx val="3"/>
          <c:order val="3"/>
          <c:tx>
            <c:strRef>
              <c:f>'ΓΡΑΦΗΜΑ 30'!$E$1</c:f>
              <c:strCache>
                <c:ptCount val="1"/>
                <c:pt idx="0">
                  <c:v>ΔΓ/ΔΑ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30'!$A$2:$A$8</c:f>
              <c:strCache>
                <c:ptCount val="7"/>
                <c:pt idx="0">
                  <c:v>ΙΟΥΛ. 2019</c:v>
                </c:pt>
                <c:pt idx="1">
                  <c:v>ΦΕΒΡ. 2020</c:v>
                </c:pt>
                <c:pt idx="2">
                  <c:v>ΙΟΥΛ. 2020</c:v>
                </c:pt>
                <c:pt idx="3">
                  <c:v>ΦΕΒΡ. 2021</c:v>
                </c:pt>
                <c:pt idx="4">
                  <c:v>ΙΟΥΛ. 2021</c:v>
                </c:pt>
                <c:pt idx="5">
                  <c:v>ΦΕΒΡ. 2022</c:v>
                </c:pt>
                <c:pt idx="6">
                  <c:v>ΙΟΥΛ. 2022</c:v>
                </c:pt>
              </c:strCache>
            </c:strRef>
          </c:cat>
          <c:val>
            <c:numRef>
              <c:f>'ΓΡΑΦΗΜΑ 30'!$E$2:$E$8</c:f>
              <c:numCache>
                <c:formatCode>0.0</c:formatCode>
                <c:ptCount val="7"/>
                <c:pt idx="0">
                  <c:v>7.1960297766749477</c:v>
                </c:pt>
                <c:pt idx="1">
                  <c:v>3.7313432835820919</c:v>
                </c:pt>
                <c:pt idx="2">
                  <c:v>6.9738480697384801</c:v>
                </c:pt>
                <c:pt idx="3">
                  <c:v>3.8999999999999915</c:v>
                </c:pt>
                <c:pt idx="4">
                  <c:v>8</c:v>
                </c:pt>
                <c:pt idx="5">
                  <c:v>3.0999999999999943</c:v>
                </c:pt>
                <c:pt idx="6">
                  <c:v>10.609999999999985</c:v>
                </c:pt>
              </c:numCache>
            </c:numRef>
          </c:val>
          <c:extLst xmlns:c16r2="http://schemas.microsoft.com/office/drawing/2015/06/chart">
            <c:ext xmlns:c16="http://schemas.microsoft.com/office/drawing/2014/chart" uri="{C3380CC4-5D6E-409C-BE32-E72D297353CC}">
              <c16:uniqueId val="{0000000A-2CA2-47E0-94A1-CC218322E0D2}"/>
            </c:ext>
          </c:extLst>
        </c:ser>
        <c:dLbls>
          <c:showLegendKey val="0"/>
          <c:showVal val="0"/>
          <c:showCatName val="0"/>
          <c:showSerName val="0"/>
          <c:showPercent val="0"/>
          <c:showBubbleSize val="0"/>
        </c:dLbls>
        <c:gapWidth val="150"/>
        <c:overlap val="100"/>
        <c:axId val="297572608"/>
        <c:axId val="297575552"/>
      </c:barChart>
      <c:catAx>
        <c:axId val="297572608"/>
        <c:scaling>
          <c:orientation val="minMax"/>
        </c:scaling>
        <c:delete val="0"/>
        <c:axPos val="b"/>
        <c:numFmt formatCode="General" sourceLinked="0"/>
        <c:majorTickMark val="out"/>
        <c:minorTickMark val="none"/>
        <c:tickLblPos val="nextTo"/>
        <c:crossAx val="297575552"/>
        <c:crosses val="autoZero"/>
        <c:auto val="1"/>
        <c:lblAlgn val="ctr"/>
        <c:lblOffset val="100"/>
        <c:noMultiLvlLbl val="0"/>
      </c:catAx>
      <c:valAx>
        <c:axId val="297575552"/>
        <c:scaling>
          <c:orientation val="minMax"/>
        </c:scaling>
        <c:delete val="1"/>
        <c:axPos val="l"/>
        <c:majorGridlines/>
        <c:numFmt formatCode="0%" sourceLinked="1"/>
        <c:majorTickMark val="out"/>
        <c:minorTickMark val="none"/>
        <c:tickLblPos val="nextTo"/>
        <c:crossAx val="297572608"/>
        <c:crosses val="autoZero"/>
        <c:crossBetween val="between"/>
      </c:valAx>
    </c:plotArea>
    <c:legend>
      <c:legendPos val="l"/>
      <c:layout>
        <c:manualLayout>
          <c:xMode val="edge"/>
          <c:yMode val="edge"/>
          <c:x val="1.0615711252653927E-2"/>
          <c:y val="0.37762725989755525"/>
          <c:w val="0.19039194543357241"/>
          <c:h val="0.39357210902805895"/>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a:t>Γράφημα 31</a:t>
            </a:r>
          </a:p>
          <a:p>
            <a:pPr>
              <a:defRPr sz="1200"/>
            </a:pPr>
            <a:r>
              <a:rPr lang="el-GR"/>
              <a:t>Ποσοστά ΜμΕ που δήλωσαν ότι δεν θα μπορέσουν να ανταποκριθούν στις υποχρεώσεις τους το δεύτερο εξάμηνο του 2022</a:t>
            </a:r>
          </a:p>
        </c:rich>
      </c:tx>
      <c:overlay val="0"/>
    </c:title>
    <c:autoTitleDeleted val="0"/>
    <c:plotArea>
      <c:layout/>
      <c:barChart>
        <c:barDir val="bar"/>
        <c:grouping val="clustered"/>
        <c:varyColors val="0"/>
        <c:ser>
          <c:idx val="0"/>
          <c:order val="0"/>
          <c:tx>
            <c:strRef>
              <c:f>'ΓΡΑΦΗΜΑ 31'!$B$1</c:f>
              <c:strCache>
                <c:ptCount val="1"/>
                <c:pt idx="0">
                  <c:v>Ποσοστό ΜμΕ που δήλωσαν ότι δεν θα μπορέσουν να ανταποκριθούν στις υποχρεώσεις τους το δεύτερο εξάμηνο του 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31'!$A$2:$A$9</c:f>
              <c:strCache>
                <c:ptCount val="8"/>
                <c:pt idx="0">
                  <c:v>Στον πρώην ΟΑΕΕ </c:v>
                </c:pt>
                <c:pt idx="1">
                  <c:v>Στην εφορία </c:v>
                </c:pt>
                <c:pt idx="2">
                  <c:v>Σε λογαριασμούς ενέργειας </c:v>
                </c:pt>
                <c:pt idx="3">
                  <c:v>Σε προμηθευτές</c:v>
                </c:pt>
                <c:pt idx="4">
                  <c:v>Σε λοιπούς λογαριασμούς </c:v>
                </c:pt>
                <c:pt idx="5">
                  <c:v>Στις τράπεζες/ δάνεια</c:v>
                </c:pt>
                <c:pt idx="6">
                  <c:v>Για ενοίκιο</c:v>
                </c:pt>
                <c:pt idx="7">
                  <c:v>Στο πρώην ΙΚΑ</c:v>
                </c:pt>
              </c:strCache>
            </c:strRef>
          </c:cat>
          <c:val>
            <c:numRef>
              <c:f>'ΓΡΑΦΗΜΑ 31'!$B$2:$B$9</c:f>
              <c:numCache>
                <c:formatCode>0.0</c:formatCode>
                <c:ptCount val="8"/>
                <c:pt idx="0">
                  <c:v>16.600000000000001</c:v>
                </c:pt>
                <c:pt idx="1">
                  <c:v>15.48</c:v>
                </c:pt>
                <c:pt idx="2">
                  <c:v>15.36</c:v>
                </c:pt>
                <c:pt idx="3">
                  <c:v>13.11</c:v>
                </c:pt>
                <c:pt idx="4">
                  <c:v>12.23</c:v>
                </c:pt>
                <c:pt idx="5">
                  <c:v>11.99</c:v>
                </c:pt>
                <c:pt idx="6">
                  <c:v>11.49</c:v>
                </c:pt>
                <c:pt idx="7">
                  <c:v>10.24</c:v>
                </c:pt>
              </c:numCache>
            </c:numRef>
          </c:val>
          <c:extLst xmlns:c16r2="http://schemas.microsoft.com/office/drawing/2015/06/chart">
            <c:ext xmlns:c16="http://schemas.microsoft.com/office/drawing/2014/chart" uri="{C3380CC4-5D6E-409C-BE32-E72D297353CC}">
              <c16:uniqueId val="{00000000-E6AF-4947-874C-21E40E7A0771}"/>
            </c:ext>
          </c:extLst>
        </c:ser>
        <c:dLbls>
          <c:showLegendKey val="0"/>
          <c:showVal val="0"/>
          <c:showCatName val="0"/>
          <c:showSerName val="0"/>
          <c:showPercent val="0"/>
          <c:showBubbleSize val="0"/>
        </c:dLbls>
        <c:gapWidth val="150"/>
        <c:axId val="297642624"/>
        <c:axId val="297767296"/>
      </c:barChart>
      <c:catAx>
        <c:axId val="297642624"/>
        <c:scaling>
          <c:orientation val="maxMin"/>
        </c:scaling>
        <c:delete val="0"/>
        <c:axPos val="l"/>
        <c:numFmt formatCode="General" sourceLinked="0"/>
        <c:majorTickMark val="out"/>
        <c:minorTickMark val="none"/>
        <c:tickLblPos val="nextTo"/>
        <c:crossAx val="297767296"/>
        <c:crosses val="autoZero"/>
        <c:auto val="1"/>
        <c:lblAlgn val="ctr"/>
        <c:lblOffset val="100"/>
        <c:noMultiLvlLbl val="0"/>
      </c:catAx>
      <c:valAx>
        <c:axId val="297767296"/>
        <c:scaling>
          <c:orientation val="minMax"/>
        </c:scaling>
        <c:delete val="1"/>
        <c:axPos val="t"/>
        <c:numFmt formatCode="0.0" sourceLinked="1"/>
        <c:majorTickMark val="out"/>
        <c:minorTickMark val="none"/>
        <c:tickLblPos val="nextTo"/>
        <c:crossAx val="297642624"/>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0" i="0" baseline="0">
                <a:effectLst/>
              </a:rPr>
              <a:t>Γράφημα 32 </a:t>
            </a:r>
          </a:p>
          <a:p>
            <a:pPr>
              <a:defRPr sz="1400" b="0" i="0" u="none" strike="noStrike" kern="1200" spc="0" baseline="0">
                <a:solidFill>
                  <a:schemeClr val="tx1">
                    <a:lumMod val="65000"/>
                    <a:lumOff val="35000"/>
                  </a:schemeClr>
                </a:solidFill>
                <a:latin typeface="+mn-lt"/>
                <a:ea typeface="+mn-ea"/>
                <a:cs typeface="+mn-cs"/>
              </a:defRPr>
            </a:pPr>
            <a:r>
              <a:rPr lang="el-GR" sz="1200" b="0" i="0" baseline="0">
                <a:effectLst/>
              </a:rPr>
              <a:t>Δείκτες αβεβαιότητας και βιωσιμότητας ΜμΕ</a:t>
            </a:r>
          </a:p>
        </c:rich>
      </c:tx>
      <c:overlay val="0"/>
      <c:spPr>
        <a:noFill/>
        <a:ln>
          <a:noFill/>
        </a:ln>
        <a:effectLst/>
      </c:spPr>
    </c:title>
    <c:autoTitleDeleted val="0"/>
    <c:plotArea>
      <c:layout/>
      <c:barChart>
        <c:barDir val="col"/>
        <c:grouping val="clustered"/>
        <c:varyColors val="0"/>
        <c:ser>
          <c:idx val="0"/>
          <c:order val="0"/>
          <c:tx>
            <c:strRef>
              <c:f>'ΓΡΑΦΗΜΑ 32'!$B$1</c:f>
              <c:strCache>
                <c:ptCount val="1"/>
                <c:pt idx="0">
                  <c:v>Δείκτης αβεβαιότητας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32'!$A$2:$A$8</c:f>
              <c:strCache>
                <c:ptCount val="7"/>
                <c:pt idx="0">
                  <c:v>ΙΟΥΛ. 2019</c:v>
                </c:pt>
                <c:pt idx="1">
                  <c:v>ΦΕΒ. 2020</c:v>
                </c:pt>
                <c:pt idx="2">
                  <c:v>ΙΟΥΛ. 2020</c:v>
                </c:pt>
                <c:pt idx="3">
                  <c:v>ΦΕΒ. 2021</c:v>
                </c:pt>
                <c:pt idx="4">
                  <c:v>ΙΟΥΛ. 2021</c:v>
                </c:pt>
                <c:pt idx="5">
                  <c:v>ΦΕΒ. 2022</c:v>
                </c:pt>
                <c:pt idx="6">
                  <c:v>ΙΟΥΛ. 2022</c:v>
                </c:pt>
              </c:strCache>
            </c:strRef>
          </c:cat>
          <c:val>
            <c:numRef>
              <c:f>'ΓΡΑΦΗΜΑ 32'!$B$2:$B$8</c:f>
              <c:numCache>
                <c:formatCode>General</c:formatCode>
                <c:ptCount val="7"/>
                <c:pt idx="0">
                  <c:v>24.1</c:v>
                </c:pt>
                <c:pt idx="1">
                  <c:v>20.9</c:v>
                </c:pt>
                <c:pt idx="2">
                  <c:v>32.700000000000003</c:v>
                </c:pt>
                <c:pt idx="3">
                  <c:v>38.200000000000003</c:v>
                </c:pt>
                <c:pt idx="4">
                  <c:v>36.700000000000003</c:v>
                </c:pt>
                <c:pt idx="5">
                  <c:v>32.799999999999997</c:v>
                </c:pt>
                <c:pt idx="6" formatCode="0.0">
                  <c:v>38.58</c:v>
                </c:pt>
              </c:numCache>
            </c:numRef>
          </c:val>
          <c:extLst xmlns:c16r2="http://schemas.microsoft.com/office/drawing/2015/06/chart">
            <c:ext xmlns:c16="http://schemas.microsoft.com/office/drawing/2014/chart" uri="{C3380CC4-5D6E-409C-BE32-E72D297353CC}">
              <c16:uniqueId val="{00000000-9719-4E73-8949-9A3F81DE5D08}"/>
            </c:ext>
          </c:extLst>
        </c:ser>
        <c:dLbls>
          <c:showLegendKey val="0"/>
          <c:showVal val="0"/>
          <c:showCatName val="0"/>
          <c:showSerName val="0"/>
          <c:showPercent val="0"/>
          <c:showBubbleSize val="0"/>
        </c:dLbls>
        <c:gapWidth val="219"/>
        <c:overlap val="-27"/>
        <c:axId val="298020864"/>
        <c:axId val="298022400"/>
      </c:barChart>
      <c:lineChart>
        <c:grouping val="standard"/>
        <c:varyColors val="0"/>
        <c:ser>
          <c:idx val="1"/>
          <c:order val="1"/>
          <c:tx>
            <c:strRef>
              <c:f>'ΓΡΑΦΗΜΑ 32'!$C$1</c:f>
              <c:strCache>
                <c:ptCount val="1"/>
                <c:pt idx="0">
                  <c:v>Δείκτης βιωσιμότητας</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32'!$A$2:$A$8</c:f>
              <c:strCache>
                <c:ptCount val="7"/>
                <c:pt idx="0">
                  <c:v>ΙΟΥΛ. 2019</c:v>
                </c:pt>
                <c:pt idx="1">
                  <c:v>ΦΕΒ. 2020</c:v>
                </c:pt>
                <c:pt idx="2">
                  <c:v>ΙΟΥΛ. 2020</c:v>
                </c:pt>
                <c:pt idx="3">
                  <c:v>ΦΕΒ. 2021</c:v>
                </c:pt>
                <c:pt idx="4">
                  <c:v>ΙΟΥΛ. 2021</c:v>
                </c:pt>
                <c:pt idx="5">
                  <c:v>ΦΕΒ. 2022</c:v>
                </c:pt>
                <c:pt idx="6">
                  <c:v>ΙΟΥΛ. 2022</c:v>
                </c:pt>
              </c:strCache>
            </c:strRef>
          </c:cat>
          <c:val>
            <c:numRef>
              <c:f>'ΓΡΑΦΗΜΑ 32'!$C$2:$C$8</c:f>
              <c:numCache>
                <c:formatCode>General</c:formatCode>
                <c:ptCount val="7"/>
                <c:pt idx="0">
                  <c:v>1.7</c:v>
                </c:pt>
                <c:pt idx="1">
                  <c:v>1.4</c:v>
                </c:pt>
                <c:pt idx="2">
                  <c:v>5.9</c:v>
                </c:pt>
                <c:pt idx="3" formatCode="0.0">
                  <c:v>5.9925093632958806</c:v>
                </c:pt>
                <c:pt idx="4">
                  <c:v>4.0999999999999996</c:v>
                </c:pt>
                <c:pt idx="5">
                  <c:v>4.5999999999999996</c:v>
                </c:pt>
                <c:pt idx="6">
                  <c:v>6.5</c:v>
                </c:pt>
              </c:numCache>
            </c:numRef>
          </c:val>
          <c:smooth val="0"/>
          <c:extLst xmlns:c16r2="http://schemas.microsoft.com/office/drawing/2015/06/chart">
            <c:ext xmlns:c16="http://schemas.microsoft.com/office/drawing/2014/chart" uri="{C3380CC4-5D6E-409C-BE32-E72D297353CC}">
              <c16:uniqueId val="{00000001-9719-4E73-8949-9A3F81DE5D08}"/>
            </c:ext>
          </c:extLst>
        </c:ser>
        <c:dLbls>
          <c:showLegendKey val="0"/>
          <c:showVal val="0"/>
          <c:showCatName val="0"/>
          <c:showSerName val="0"/>
          <c:showPercent val="0"/>
          <c:showBubbleSize val="0"/>
        </c:dLbls>
        <c:marker val="1"/>
        <c:smooth val="0"/>
        <c:axId val="298020864"/>
        <c:axId val="298022400"/>
      </c:lineChart>
      <c:catAx>
        <c:axId val="2980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98022400"/>
        <c:crosses val="autoZero"/>
        <c:auto val="1"/>
        <c:lblAlgn val="ctr"/>
        <c:lblOffset val="100"/>
        <c:noMultiLvlLbl val="0"/>
      </c:catAx>
      <c:valAx>
        <c:axId val="29802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9802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4</a:t>
            </a:r>
            <a:endParaRPr lang="el-GR" sz="1200"/>
          </a:p>
          <a:p>
            <a:pPr>
              <a:defRPr sz="1200"/>
            </a:pPr>
            <a:r>
              <a:rPr lang="el-GR" sz="1200"/>
              <a:t>Ποσοστό μείωσης κύκλου εργασιών πρώτου εξαμήνου 2022 </a:t>
            </a:r>
          </a:p>
          <a:p>
            <a:pPr>
              <a:defRPr sz="1200"/>
            </a:pPr>
            <a:r>
              <a:rPr lang="el-GR" sz="800"/>
              <a:t>- Βάση οι επιχειρήσεις που δήλωσαν ότι μειώθηκε ο κύκλος εργασιών-</a:t>
            </a:r>
          </a:p>
        </c:rich>
      </c:tx>
      <c:overlay val="0"/>
    </c:title>
    <c:autoTitleDeleted val="0"/>
    <c:plotArea>
      <c:layout/>
      <c:barChart>
        <c:barDir val="bar"/>
        <c:grouping val="clustered"/>
        <c:varyColors val="0"/>
        <c:ser>
          <c:idx val="0"/>
          <c:order val="0"/>
          <c:tx>
            <c:strRef>
              <c:f>'ΓΡΑΦΗΜΑ 4'!$B$4</c:f>
              <c:strCache>
                <c:ptCount val="1"/>
                <c:pt idx="0">
                  <c:v>Ποσοστό μείωσης κύκλου εργασιών πρώτου εξαμήνου 2022 - Βάση οι επιχειρήσεις που δήλωσαν ότι μειώθηκε ο κύκλος εργασιών-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4'!$A$5:$A$12</c:f>
              <c:strCache>
                <c:ptCount val="8"/>
                <c:pt idx="0">
                  <c:v>Έως 10%</c:v>
                </c:pt>
                <c:pt idx="1">
                  <c:v>11-20%</c:v>
                </c:pt>
                <c:pt idx="2">
                  <c:v>21-30%</c:v>
                </c:pt>
                <c:pt idx="3">
                  <c:v>31-40%</c:v>
                </c:pt>
                <c:pt idx="4">
                  <c:v>41-50%</c:v>
                </c:pt>
                <c:pt idx="5">
                  <c:v>51-60%</c:v>
                </c:pt>
                <c:pt idx="6">
                  <c:v>Άνω του 60%</c:v>
                </c:pt>
                <c:pt idx="7">
                  <c:v>ΔΓ/ΔΑ</c:v>
                </c:pt>
              </c:strCache>
            </c:strRef>
          </c:cat>
          <c:val>
            <c:numRef>
              <c:f>'ΓΡΑΦΗΜΑ 4'!$B$5:$B$12</c:f>
              <c:numCache>
                <c:formatCode>0.0%</c:formatCode>
                <c:ptCount val="8"/>
                <c:pt idx="0">
                  <c:v>0.1078167115902965</c:v>
                </c:pt>
                <c:pt idx="1">
                  <c:v>0.26684636118598382</c:v>
                </c:pt>
                <c:pt idx="2">
                  <c:v>0.19137466307277629</c:v>
                </c:pt>
                <c:pt idx="3">
                  <c:v>9.9730458221024262E-2</c:v>
                </c:pt>
                <c:pt idx="4">
                  <c:v>8.6253369272237201E-2</c:v>
                </c:pt>
                <c:pt idx="5">
                  <c:v>4.5822102425876012E-2</c:v>
                </c:pt>
                <c:pt idx="6">
                  <c:v>8.0862533692722366E-2</c:v>
                </c:pt>
                <c:pt idx="7">
                  <c:v>0.12129380053908356</c:v>
                </c:pt>
              </c:numCache>
            </c:numRef>
          </c:val>
          <c:extLst xmlns:c16r2="http://schemas.microsoft.com/office/drawing/2015/06/chart">
            <c:ext xmlns:c16="http://schemas.microsoft.com/office/drawing/2014/chart" uri="{C3380CC4-5D6E-409C-BE32-E72D297353CC}">
              <c16:uniqueId val="{00000000-A230-4E79-87A0-9799093B971A}"/>
            </c:ext>
          </c:extLst>
        </c:ser>
        <c:dLbls>
          <c:showLegendKey val="0"/>
          <c:showVal val="0"/>
          <c:showCatName val="0"/>
          <c:showSerName val="0"/>
          <c:showPercent val="0"/>
          <c:showBubbleSize val="0"/>
        </c:dLbls>
        <c:gapWidth val="150"/>
        <c:axId val="359203200"/>
        <c:axId val="359205120"/>
      </c:barChart>
      <c:catAx>
        <c:axId val="359203200"/>
        <c:scaling>
          <c:orientation val="maxMin"/>
        </c:scaling>
        <c:delete val="0"/>
        <c:axPos val="l"/>
        <c:numFmt formatCode="General" sourceLinked="0"/>
        <c:majorTickMark val="out"/>
        <c:minorTickMark val="none"/>
        <c:tickLblPos val="nextTo"/>
        <c:crossAx val="359205120"/>
        <c:crosses val="autoZero"/>
        <c:auto val="1"/>
        <c:lblAlgn val="ctr"/>
        <c:lblOffset val="100"/>
        <c:noMultiLvlLbl val="0"/>
      </c:catAx>
      <c:valAx>
        <c:axId val="359205120"/>
        <c:scaling>
          <c:orientation val="minMax"/>
        </c:scaling>
        <c:delete val="1"/>
        <c:axPos val="t"/>
        <c:numFmt formatCode="0.0%" sourceLinked="1"/>
        <c:majorTickMark val="out"/>
        <c:minorTickMark val="none"/>
        <c:tickLblPos val="nextTo"/>
        <c:crossAx val="35920320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l-GR" sz="1400"/>
              <a:t>Γράφημα </a:t>
            </a:r>
            <a:r>
              <a:rPr lang="en-US" sz="1400"/>
              <a:t>5</a:t>
            </a:r>
            <a:r>
              <a:rPr lang="el-GR" sz="1400"/>
              <a:t> </a:t>
            </a:r>
          </a:p>
          <a:p>
            <a:pPr>
              <a:defRPr/>
            </a:pPr>
            <a:r>
              <a:rPr lang="el-GR" sz="1400"/>
              <a:t>Αποτίμηση πρώτου εξαμήνου 2022</a:t>
            </a:r>
          </a:p>
        </c:rich>
      </c:tx>
      <c:overlay val="0"/>
    </c:title>
    <c:autoTitleDeleted val="0"/>
    <c:plotArea>
      <c:layout/>
      <c:barChart>
        <c:barDir val="bar"/>
        <c:grouping val="percentStacked"/>
        <c:varyColors val="0"/>
        <c:ser>
          <c:idx val="0"/>
          <c:order val="0"/>
          <c:tx>
            <c:strRef>
              <c:f>'ΓΡΑΦΗΜΑ 5'!$B$2</c:f>
              <c:strCache>
                <c:ptCount val="1"/>
                <c:pt idx="0">
                  <c:v>Αύξηση</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5'!$A$3:$A$4</c:f>
              <c:strCache>
                <c:ptCount val="2"/>
                <c:pt idx="0">
                  <c:v>ΖΗΤΗΣΗ</c:v>
                </c:pt>
                <c:pt idx="1">
                  <c:v>ΠΑΡΑΓΓΕΛΙΕΣ</c:v>
                </c:pt>
              </c:strCache>
            </c:strRef>
          </c:cat>
          <c:val>
            <c:numRef>
              <c:f>'ΓΡΑΦΗΜΑ 5'!$B$3:$B$4</c:f>
              <c:numCache>
                <c:formatCode>0.0%</c:formatCode>
                <c:ptCount val="2"/>
                <c:pt idx="0">
                  <c:v>0.28199999999999997</c:v>
                </c:pt>
                <c:pt idx="1">
                  <c:v>0.25</c:v>
                </c:pt>
              </c:numCache>
            </c:numRef>
          </c:val>
          <c:extLst xmlns:c16r2="http://schemas.microsoft.com/office/drawing/2015/06/chart">
            <c:ext xmlns:c16="http://schemas.microsoft.com/office/drawing/2014/chart" uri="{C3380CC4-5D6E-409C-BE32-E72D297353CC}">
              <c16:uniqueId val="{00000000-CECE-4D44-A4A7-3314BA0E3218}"/>
            </c:ext>
          </c:extLst>
        </c:ser>
        <c:ser>
          <c:idx val="1"/>
          <c:order val="1"/>
          <c:tx>
            <c:strRef>
              <c:f>'ΓΡΑΦΗΜΑ 5'!$C$2</c:f>
              <c:strCache>
                <c:ptCount val="1"/>
                <c:pt idx="0">
                  <c:v>Αμετάβλητη</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5'!$A$3:$A$4</c:f>
              <c:strCache>
                <c:ptCount val="2"/>
                <c:pt idx="0">
                  <c:v>ΖΗΤΗΣΗ</c:v>
                </c:pt>
                <c:pt idx="1">
                  <c:v>ΠΑΡΑΓΓΕΛΙΕΣ</c:v>
                </c:pt>
              </c:strCache>
            </c:strRef>
          </c:cat>
          <c:val>
            <c:numRef>
              <c:f>'ΓΡΑΦΗΜΑ 5'!$C$3:$C$4</c:f>
              <c:numCache>
                <c:formatCode>0.0%</c:formatCode>
                <c:ptCount val="2"/>
                <c:pt idx="0">
                  <c:v>0.26300000000000001</c:v>
                </c:pt>
                <c:pt idx="1">
                  <c:v>0.27100000000000002</c:v>
                </c:pt>
              </c:numCache>
            </c:numRef>
          </c:val>
          <c:extLst xmlns:c16r2="http://schemas.microsoft.com/office/drawing/2015/06/chart">
            <c:ext xmlns:c16="http://schemas.microsoft.com/office/drawing/2014/chart" uri="{C3380CC4-5D6E-409C-BE32-E72D297353CC}">
              <c16:uniqueId val="{00000001-CECE-4D44-A4A7-3314BA0E3218}"/>
            </c:ext>
          </c:extLst>
        </c:ser>
        <c:ser>
          <c:idx val="2"/>
          <c:order val="2"/>
          <c:tx>
            <c:strRef>
              <c:f>'ΓΡΑΦΗΜΑ 5'!$D$2</c:f>
              <c:strCache>
                <c:ptCount val="1"/>
                <c:pt idx="0">
                  <c:v>Μείωση</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5'!$A$3:$A$4</c:f>
              <c:strCache>
                <c:ptCount val="2"/>
                <c:pt idx="0">
                  <c:v>ΖΗΤΗΣΗ</c:v>
                </c:pt>
                <c:pt idx="1">
                  <c:v>ΠΑΡΑΓΓΕΛΙΕΣ</c:v>
                </c:pt>
              </c:strCache>
            </c:strRef>
          </c:cat>
          <c:val>
            <c:numRef>
              <c:f>'ΓΡΑΦΗΜΑ 5'!$D$3:$D$4</c:f>
              <c:numCache>
                <c:formatCode>0.0%</c:formatCode>
                <c:ptCount val="2"/>
                <c:pt idx="0">
                  <c:v>0.44800000000000001</c:v>
                </c:pt>
                <c:pt idx="1">
                  <c:v>0.46600000000000003</c:v>
                </c:pt>
              </c:numCache>
            </c:numRef>
          </c:val>
          <c:extLst xmlns:c16r2="http://schemas.microsoft.com/office/drawing/2015/06/chart">
            <c:ext xmlns:c16="http://schemas.microsoft.com/office/drawing/2014/chart" uri="{C3380CC4-5D6E-409C-BE32-E72D297353CC}">
              <c16:uniqueId val="{00000002-CECE-4D44-A4A7-3314BA0E3218}"/>
            </c:ext>
          </c:extLst>
        </c:ser>
        <c:dLbls>
          <c:showLegendKey val="0"/>
          <c:showVal val="0"/>
          <c:showCatName val="0"/>
          <c:showSerName val="0"/>
          <c:showPercent val="0"/>
          <c:showBubbleSize val="0"/>
        </c:dLbls>
        <c:gapWidth val="150"/>
        <c:overlap val="100"/>
        <c:axId val="232539264"/>
        <c:axId val="232540800"/>
      </c:barChart>
      <c:catAx>
        <c:axId val="232539264"/>
        <c:scaling>
          <c:orientation val="maxMin"/>
        </c:scaling>
        <c:delete val="0"/>
        <c:axPos val="l"/>
        <c:numFmt formatCode="General" sourceLinked="0"/>
        <c:majorTickMark val="out"/>
        <c:minorTickMark val="none"/>
        <c:tickLblPos val="nextTo"/>
        <c:crossAx val="232540800"/>
        <c:crosses val="autoZero"/>
        <c:auto val="1"/>
        <c:lblAlgn val="ctr"/>
        <c:lblOffset val="100"/>
        <c:noMultiLvlLbl val="0"/>
      </c:catAx>
      <c:valAx>
        <c:axId val="232540800"/>
        <c:scaling>
          <c:orientation val="minMax"/>
        </c:scaling>
        <c:delete val="1"/>
        <c:axPos val="t"/>
        <c:numFmt formatCode="0%" sourceLinked="1"/>
        <c:majorTickMark val="out"/>
        <c:minorTickMark val="none"/>
        <c:tickLblPos val="nextTo"/>
        <c:crossAx val="232539264"/>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6</a:t>
            </a:r>
            <a:r>
              <a:rPr lang="el-GR" sz="1200"/>
              <a:t> </a:t>
            </a:r>
          </a:p>
          <a:p>
            <a:pPr>
              <a:defRPr sz="1200"/>
            </a:pPr>
            <a:r>
              <a:rPr lang="el-GR" sz="1200"/>
              <a:t>Ρευστότητα επιχειρήσεων πρώτου εξαμήνου 2022</a:t>
            </a:r>
          </a:p>
        </c:rich>
      </c:tx>
      <c:overlay val="0"/>
    </c:title>
    <c:autoTitleDeleted val="0"/>
    <c:plotArea>
      <c:layout/>
      <c:pieChart>
        <c:varyColors val="1"/>
        <c:ser>
          <c:idx val="0"/>
          <c:order val="0"/>
          <c:tx>
            <c:strRef>
              <c:f>'ΓΡΑΦΗΜΑ 6'!$B$1</c:f>
              <c:strCache>
                <c:ptCount val="1"/>
                <c:pt idx="0">
                  <c:v>Ρευστότητα επιχείρησεων πρώτο εξάμηνο 2022</c:v>
                </c:pt>
              </c:strCache>
            </c:strRef>
          </c:tx>
          <c:dLbls>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'ΓΡΑΦΗΜΑ 6'!$A$2:$A$4</c:f>
              <c:strCache>
                <c:ptCount val="3"/>
                <c:pt idx="0">
                  <c:v>Αυξήθηκε</c:v>
                </c:pt>
                <c:pt idx="1">
                  <c:v>Μειώθηκε</c:v>
                </c:pt>
                <c:pt idx="2">
                  <c:v>Αμετάβλητη</c:v>
                </c:pt>
              </c:strCache>
            </c:strRef>
          </c:cat>
          <c:val>
            <c:numRef>
              <c:f>'ΓΡΑΦΗΜΑ 6'!$B$2:$B$4</c:f>
              <c:numCache>
                <c:formatCode>0.0%</c:formatCode>
                <c:ptCount val="3"/>
                <c:pt idx="0">
                  <c:v>0.22</c:v>
                </c:pt>
                <c:pt idx="1">
                  <c:v>0.52700000000000002</c:v>
                </c:pt>
                <c:pt idx="2">
                  <c:v>0.248</c:v>
                </c:pt>
              </c:numCache>
            </c:numRef>
          </c:val>
          <c:extLst xmlns:c16r2="http://schemas.microsoft.com/office/drawing/2015/06/chart">
            <c:ext xmlns:c16="http://schemas.microsoft.com/office/drawing/2014/chart" uri="{C3380CC4-5D6E-409C-BE32-E72D297353CC}">
              <c16:uniqueId val="{00000000-940B-4699-B5C8-5B521FF4254D}"/>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a:effectLst/>
              </a:rPr>
              <a:t>Γράφημα </a:t>
            </a:r>
            <a:r>
              <a:rPr lang="en-US" sz="1200" b="1">
                <a:effectLst/>
              </a:rPr>
              <a:t>7</a:t>
            </a:r>
            <a:endParaRPr lang="el-GR" sz="1200" b="1">
              <a:effectLst/>
            </a:endParaRPr>
          </a:p>
          <a:p>
            <a:pPr>
              <a:defRPr sz="1200"/>
            </a:pPr>
            <a:r>
              <a:rPr lang="el-GR" sz="1200" b="1" baseline="0">
                <a:effectLst/>
              </a:rPr>
              <a:t>Επάρκεια ταμειακών διαθεσίμων για κάλυψη βασικών υποχρεώσεων επιχείρησης </a:t>
            </a:r>
          </a:p>
          <a:p>
            <a:pPr>
              <a:defRPr sz="1200"/>
            </a:pPr>
            <a:r>
              <a:rPr lang="el-GR" sz="800" b="1" baseline="0">
                <a:effectLst/>
              </a:rPr>
              <a:t>- Συγκριτικό Γράφημα -</a:t>
            </a:r>
            <a:endParaRPr lang="el-GR" sz="800">
              <a:effectLst/>
            </a:endParaRPr>
          </a:p>
        </c:rich>
      </c:tx>
      <c:layout>
        <c:manualLayout>
          <c:xMode val="edge"/>
          <c:yMode val="edge"/>
          <c:x val="0.12264076081398916"/>
          <c:y val="1.4430017709154017E-2"/>
        </c:manualLayout>
      </c:layout>
      <c:overlay val="0"/>
    </c:title>
    <c:autoTitleDeleted val="0"/>
    <c:plotArea>
      <c:layout>
        <c:manualLayout>
          <c:layoutTarget val="inner"/>
          <c:xMode val="edge"/>
          <c:yMode val="edge"/>
          <c:x val="0.20184867049791008"/>
          <c:y val="0.14600456621004565"/>
          <c:w val="0.77973974694287995"/>
          <c:h val="0.7967998777550066"/>
        </c:manualLayout>
      </c:layout>
      <c:barChart>
        <c:barDir val="col"/>
        <c:grouping val="percentStacked"/>
        <c:varyColors val="0"/>
        <c:ser>
          <c:idx val="0"/>
          <c:order val="0"/>
          <c:tx>
            <c:strRef>
              <c:f>'ΓΡΑΦΗΜΑ 7'!$A$2</c:f>
              <c:strCache>
                <c:ptCount val="1"/>
                <c:pt idx="0">
                  <c:v>Δεν υπάρχουν ταμειακά διαθέσιμα</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7'!$B$2:$F$2</c:f>
              <c:numCache>
                <c:formatCode>0.0%</c:formatCode>
                <c:ptCount val="5"/>
                <c:pt idx="0">
                  <c:v>0.27840199750312111</c:v>
                </c:pt>
                <c:pt idx="1">
                  <c:v>0.219</c:v>
                </c:pt>
                <c:pt idx="2">
                  <c:v>0.214</c:v>
                </c:pt>
                <c:pt idx="3">
                  <c:v>0.247</c:v>
                </c:pt>
                <c:pt idx="4">
                  <c:v>0.14799999999999999</c:v>
                </c:pt>
              </c:numCache>
            </c:numRef>
          </c:val>
          <c:extLst xmlns:c16r2="http://schemas.microsoft.com/office/drawing/2015/06/chart">
            <c:ext xmlns:c16="http://schemas.microsoft.com/office/drawing/2014/chart" uri="{C3380CC4-5D6E-409C-BE32-E72D297353CC}">
              <c16:uniqueId val="{00000000-4484-4DAE-B319-888812BED4C9}"/>
            </c:ext>
          </c:extLst>
        </c:ser>
        <c:ser>
          <c:idx val="1"/>
          <c:order val="1"/>
          <c:tx>
            <c:strRef>
              <c:f>'ΓΡΑΦΗΜΑ 7'!$A$3</c:f>
              <c:strCache>
                <c:ptCount val="1"/>
                <c:pt idx="0">
                  <c:v>Λιγότερο από 1 μηνα</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7'!$B$3:$F$3</c:f>
              <c:numCache>
                <c:formatCode>0.0%</c:formatCode>
                <c:ptCount val="5"/>
                <c:pt idx="0">
                  <c:v>9.2384519350811489E-2</c:v>
                </c:pt>
                <c:pt idx="1">
                  <c:v>0.11</c:v>
                </c:pt>
                <c:pt idx="2">
                  <c:v>7.6999999999999999E-2</c:v>
                </c:pt>
                <c:pt idx="3">
                  <c:v>9.6000000000000002E-2</c:v>
                </c:pt>
                <c:pt idx="4">
                  <c:v>0.107</c:v>
                </c:pt>
              </c:numCache>
            </c:numRef>
          </c:val>
          <c:extLst xmlns:c16r2="http://schemas.microsoft.com/office/drawing/2015/06/chart">
            <c:ext xmlns:c16="http://schemas.microsoft.com/office/drawing/2014/chart" uri="{C3380CC4-5D6E-409C-BE32-E72D297353CC}">
              <c16:uniqueId val="{00000001-4484-4DAE-B319-888812BED4C9}"/>
            </c:ext>
          </c:extLst>
        </c:ser>
        <c:ser>
          <c:idx val="2"/>
          <c:order val="2"/>
          <c:tx>
            <c:strRef>
              <c:f>'ΓΡΑΦΗΜΑ 7'!$A$4</c:f>
              <c:strCache>
                <c:ptCount val="1"/>
                <c:pt idx="0">
                  <c:v>1 μήνα</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7'!$B$4:$F$4</c:f>
              <c:numCache>
                <c:formatCode>0.0%</c:formatCode>
                <c:ptCount val="5"/>
                <c:pt idx="0">
                  <c:v>0.14981273408239701</c:v>
                </c:pt>
                <c:pt idx="1">
                  <c:v>0.17599999999999999</c:v>
                </c:pt>
                <c:pt idx="2">
                  <c:v>0.13300000000000001</c:v>
                </c:pt>
                <c:pt idx="3">
                  <c:v>0.14399999999999999</c:v>
                </c:pt>
                <c:pt idx="4">
                  <c:v>0.152</c:v>
                </c:pt>
              </c:numCache>
            </c:numRef>
          </c:val>
          <c:extLst xmlns:c16r2="http://schemas.microsoft.com/office/drawing/2015/06/chart">
            <c:ext xmlns:c16="http://schemas.microsoft.com/office/drawing/2014/chart" uri="{C3380CC4-5D6E-409C-BE32-E72D297353CC}">
              <c16:uniqueId val="{00000002-4484-4DAE-B319-888812BED4C9}"/>
            </c:ext>
          </c:extLst>
        </c:ser>
        <c:ser>
          <c:idx val="3"/>
          <c:order val="3"/>
          <c:tx>
            <c:strRef>
              <c:f>'ΓΡΑΦΗΜΑ 7'!$A$5</c:f>
              <c:strCache>
                <c:ptCount val="1"/>
                <c:pt idx="0">
                  <c:v>2 μήνες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7'!$B$5:$F$5</c:f>
              <c:numCache>
                <c:formatCode>0.0%</c:formatCode>
                <c:ptCount val="5"/>
                <c:pt idx="0">
                  <c:v>9.3632958801498134E-2</c:v>
                </c:pt>
                <c:pt idx="1">
                  <c:v>0.122</c:v>
                </c:pt>
                <c:pt idx="2">
                  <c:v>0.127</c:v>
                </c:pt>
                <c:pt idx="3">
                  <c:v>0.13700000000000001</c:v>
                </c:pt>
                <c:pt idx="4">
                  <c:v>0.13700000000000001</c:v>
                </c:pt>
              </c:numCache>
            </c:numRef>
          </c:val>
          <c:extLst xmlns:c16r2="http://schemas.microsoft.com/office/drawing/2015/06/chart">
            <c:ext xmlns:c16="http://schemas.microsoft.com/office/drawing/2014/chart" uri="{C3380CC4-5D6E-409C-BE32-E72D297353CC}">
              <c16:uniqueId val="{00000003-4484-4DAE-B319-888812BED4C9}"/>
            </c:ext>
          </c:extLst>
        </c:ser>
        <c:ser>
          <c:idx val="4"/>
          <c:order val="4"/>
          <c:tx>
            <c:strRef>
              <c:f>'ΓΡΑΦΗΜΑ 7'!$A$6</c:f>
              <c:strCache>
                <c:ptCount val="1"/>
                <c:pt idx="0">
                  <c:v>3-4 μήνες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7'!$B$6:$F$6</c:f>
              <c:numCache>
                <c:formatCode>0.0%</c:formatCode>
                <c:ptCount val="5"/>
                <c:pt idx="0">
                  <c:v>8.4900000000000003E-2</c:v>
                </c:pt>
                <c:pt idx="1">
                  <c:v>0.124</c:v>
                </c:pt>
                <c:pt idx="2">
                  <c:v>0.113</c:v>
                </c:pt>
                <c:pt idx="3">
                  <c:v>0.129</c:v>
                </c:pt>
                <c:pt idx="4">
                  <c:v>0.14799999999999999</c:v>
                </c:pt>
              </c:numCache>
            </c:numRef>
          </c:val>
          <c:extLst xmlns:c16r2="http://schemas.microsoft.com/office/drawing/2015/06/chart">
            <c:ext xmlns:c16="http://schemas.microsoft.com/office/drawing/2014/chart" uri="{C3380CC4-5D6E-409C-BE32-E72D297353CC}">
              <c16:uniqueId val="{00000004-4484-4DAE-B319-888812BED4C9}"/>
            </c:ext>
          </c:extLst>
        </c:ser>
        <c:ser>
          <c:idx val="5"/>
          <c:order val="5"/>
          <c:tx>
            <c:strRef>
              <c:f>'ΓΡΑΦΗΜΑ 7'!$A$7</c:f>
              <c:strCache>
                <c:ptCount val="1"/>
                <c:pt idx="0">
                  <c:v>5-6 μήνες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7'!$B$7:$F$7</c:f>
              <c:numCache>
                <c:formatCode>0.0%</c:formatCode>
                <c:ptCount val="5"/>
                <c:pt idx="0">
                  <c:v>0.11990000000000001</c:v>
                </c:pt>
                <c:pt idx="1">
                  <c:v>0.107</c:v>
                </c:pt>
                <c:pt idx="2">
                  <c:v>0.13400000000000001</c:v>
                </c:pt>
                <c:pt idx="3">
                  <c:v>0.10299999999999999</c:v>
                </c:pt>
                <c:pt idx="4">
                  <c:v>9.9000000000000005E-2</c:v>
                </c:pt>
              </c:numCache>
            </c:numRef>
          </c:val>
          <c:extLst xmlns:c16r2="http://schemas.microsoft.com/office/drawing/2015/06/chart">
            <c:ext xmlns:c16="http://schemas.microsoft.com/office/drawing/2014/chart" uri="{C3380CC4-5D6E-409C-BE32-E72D297353CC}">
              <c16:uniqueId val="{00000005-4484-4DAE-B319-888812BED4C9}"/>
            </c:ext>
          </c:extLst>
        </c:ser>
        <c:ser>
          <c:idx val="6"/>
          <c:order val="6"/>
          <c:tx>
            <c:strRef>
              <c:f>'ΓΡΑΦΗΜΑ 7'!$A$8</c:f>
              <c:strCache>
                <c:ptCount val="1"/>
                <c:pt idx="0">
                  <c:v>Πάνω από 6 μήνες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7'!$B$1:$F$1</c:f>
              <c:strCache>
                <c:ptCount val="5"/>
                <c:pt idx="0">
                  <c:v>Ιούλιος 2022</c:v>
                </c:pt>
                <c:pt idx="1">
                  <c:v>Φεβρουάριος 2022</c:v>
                </c:pt>
                <c:pt idx="2">
                  <c:v>Ιούλιος 2021</c:v>
                </c:pt>
                <c:pt idx="3">
                  <c:v>Φεβρουάριος 2021</c:v>
                </c:pt>
                <c:pt idx="4">
                  <c:v>Ιούνιος 2020</c:v>
                </c:pt>
              </c:strCache>
            </c:strRef>
          </c:cat>
          <c:val>
            <c:numRef>
              <c:f>'ΓΡΑΦΗΜΑ 7'!$B$8:$F$8</c:f>
              <c:numCache>
                <c:formatCode>0.0%</c:formatCode>
                <c:ptCount val="5"/>
                <c:pt idx="0">
                  <c:v>0.10112359550561797</c:v>
                </c:pt>
                <c:pt idx="1">
                  <c:v>8.1000000000000003E-2</c:v>
                </c:pt>
                <c:pt idx="2">
                  <c:v>9.5000000000000001E-2</c:v>
                </c:pt>
                <c:pt idx="3">
                  <c:v>7.5999999999999998E-2</c:v>
                </c:pt>
                <c:pt idx="4">
                  <c:v>0.106</c:v>
                </c:pt>
              </c:numCache>
            </c:numRef>
          </c:val>
          <c:extLst xmlns:c16r2="http://schemas.microsoft.com/office/drawing/2015/06/chart">
            <c:ext xmlns:c16="http://schemas.microsoft.com/office/drawing/2014/chart" uri="{C3380CC4-5D6E-409C-BE32-E72D297353CC}">
              <c16:uniqueId val="{00000006-4484-4DAE-B319-888812BED4C9}"/>
            </c:ext>
          </c:extLst>
        </c:ser>
        <c:dLbls>
          <c:showLegendKey val="0"/>
          <c:showVal val="0"/>
          <c:showCatName val="0"/>
          <c:showSerName val="0"/>
          <c:showPercent val="0"/>
          <c:showBubbleSize val="0"/>
        </c:dLbls>
        <c:gapWidth val="150"/>
        <c:overlap val="100"/>
        <c:axId val="261109248"/>
        <c:axId val="261110784"/>
      </c:barChart>
      <c:catAx>
        <c:axId val="261109248"/>
        <c:scaling>
          <c:orientation val="maxMin"/>
        </c:scaling>
        <c:delete val="0"/>
        <c:axPos val="b"/>
        <c:numFmt formatCode="General" sourceLinked="0"/>
        <c:majorTickMark val="out"/>
        <c:minorTickMark val="none"/>
        <c:tickLblPos val="nextTo"/>
        <c:crossAx val="261110784"/>
        <c:crosses val="autoZero"/>
        <c:auto val="1"/>
        <c:lblAlgn val="ctr"/>
        <c:lblOffset val="100"/>
        <c:noMultiLvlLbl val="0"/>
      </c:catAx>
      <c:valAx>
        <c:axId val="261110784"/>
        <c:scaling>
          <c:orientation val="minMax"/>
        </c:scaling>
        <c:delete val="1"/>
        <c:axPos val="r"/>
        <c:numFmt formatCode="0%" sourceLinked="1"/>
        <c:majorTickMark val="out"/>
        <c:minorTickMark val="none"/>
        <c:tickLblPos val="nextTo"/>
        <c:crossAx val="261109248"/>
        <c:crosses val="autoZero"/>
        <c:crossBetween val="between"/>
      </c:valAx>
    </c:plotArea>
    <c:legend>
      <c:legendPos val="l"/>
      <c:layout>
        <c:manualLayout>
          <c:xMode val="edge"/>
          <c:yMode val="edge"/>
          <c:x val="1.0042681395932713E-2"/>
          <c:y val="0.15795617157444361"/>
          <c:w val="0.23030293445305278"/>
          <c:h val="0.74333423219357853"/>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8</a:t>
            </a:r>
            <a:r>
              <a:rPr lang="el-GR" sz="1200"/>
              <a:t> </a:t>
            </a:r>
          </a:p>
          <a:p>
            <a:pPr>
              <a:defRPr sz="1200"/>
            </a:pPr>
            <a:r>
              <a:rPr lang="el-GR" sz="1200"/>
              <a:t>Προσωπικό επιχείρησης το πρώτο εξάμηνο του 2022</a:t>
            </a:r>
          </a:p>
        </c:rich>
      </c:tx>
      <c:overlay val="0"/>
    </c:title>
    <c:autoTitleDeleted val="0"/>
    <c:plotArea>
      <c:layout/>
      <c:pieChart>
        <c:varyColors val="1"/>
        <c:ser>
          <c:idx val="0"/>
          <c:order val="0"/>
          <c:tx>
            <c:strRef>
              <c:f>'ΓΡΑΦΗΜΑ 8'!$B$1</c:f>
              <c:strCache>
                <c:ptCount val="1"/>
                <c:pt idx="0">
                  <c:v>Προσωπικό επιχείρησης το πρώτο εξάμηνο του 2022</c:v>
                </c:pt>
              </c:strCache>
            </c:strRef>
          </c:tx>
          <c:dLbls>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'ΓΡΑΦΗΜΑ 8'!$A$2:$A$4</c:f>
              <c:strCache>
                <c:ptCount val="3"/>
                <c:pt idx="0">
                  <c:v>Αυξήθηκε</c:v>
                </c:pt>
                <c:pt idx="1">
                  <c:v>Μειώθηκε</c:v>
                </c:pt>
                <c:pt idx="2">
                  <c:v>Παρέμεινε σταθερό</c:v>
                </c:pt>
              </c:strCache>
            </c:strRef>
          </c:cat>
          <c:val>
            <c:numRef>
              <c:f>'ΓΡΑΦΗΜΑ 8'!$B$2:$B$4</c:f>
              <c:numCache>
                <c:formatCode>0.0%</c:formatCode>
                <c:ptCount val="3"/>
                <c:pt idx="0">
                  <c:v>9.4E-2</c:v>
                </c:pt>
                <c:pt idx="1">
                  <c:v>8.5000000000000006E-2</c:v>
                </c:pt>
                <c:pt idx="2">
                  <c:v>0.81499999999999995</c:v>
                </c:pt>
              </c:numCache>
            </c:numRef>
          </c:val>
          <c:extLst xmlns:c16r2="http://schemas.microsoft.com/office/drawing/2015/06/chart">
            <c:ext xmlns:c16="http://schemas.microsoft.com/office/drawing/2014/chart" uri="{C3380CC4-5D6E-409C-BE32-E72D297353CC}">
              <c16:uniqueId val="{00000000-76E2-4E9F-9986-E7FB49B108D3}"/>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a:t>
            </a:r>
            <a:r>
              <a:rPr lang="en-US" sz="1200"/>
              <a:t>9</a:t>
            </a:r>
            <a:endParaRPr lang="el-GR" sz="1200"/>
          </a:p>
          <a:p>
            <a:pPr>
              <a:defRPr sz="1200"/>
            </a:pPr>
            <a:r>
              <a:rPr lang="el-GR" sz="1200"/>
              <a:t>Ποσοστό</a:t>
            </a:r>
            <a:r>
              <a:rPr lang="el-GR" sz="1200" baseline="0"/>
              <a:t> επιχειρήσεων που πραγματοποίησαν επενδύσεις το πρώτο εξάμηνο του 2022 ανά κατηγορία επένδυσης</a:t>
            </a:r>
            <a:endParaRPr lang="el-GR" sz="12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9'!$A$2:$A$5</c:f>
              <c:strCache>
                <c:ptCount val="4"/>
                <c:pt idx="0">
                  <c:v>Τεχνολογικό εξοπλισμό και ψηφιακές τεχνολογίες (π.χ. λογισμικό, ψηφιακές συσκευές και εφαρμογές κλπ)</c:v>
                </c:pt>
                <c:pt idx="1">
                  <c:v>Μηχανολογικό εξοπλισμό και λοιπά μηχανήματα (πχ οχήματα)</c:v>
                </c:pt>
                <c:pt idx="2">
                  <c:v>Κτιριακές εγκαταστάσεις και λοιπό εξοπλισμό</c:v>
                </c:pt>
                <c:pt idx="3">
                  <c:v>Κατάρτιση – εκπαίδευση προσωπικού (π.χ. συστήματα πιστοποίησης οργάνωσης και λειτουργίας) </c:v>
                </c:pt>
              </c:strCache>
            </c:strRef>
          </c:cat>
          <c:val>
            <c:numRef>
              <c:f>'ΓΡΑΦΗΜΑ 9'!$B$2:$B$5</c:f>
              <c:numCache>
                <c:formatCode>0.0%</c:formatCode>
                <c:ptCount val="4"/>
                <c:pt idx="0">
                  <c:v>0.17852684144818975</c:v>
                </c:pt>
                <c:pt idx="1">
                  <c:v>0.13732833957553059</c:v>
                </c:pt>
                <c:pt idx="2">
                  <c:v>8.1148564294631714E-2</c:v>
                </c:pt>
                <c:pt idx="3">
                  <c:v>5.6179775280898875E-2</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'ΓΡΑΦΗΜΑ 9'!#REF!</c15:sqref>
                        </c15:formulaRef>
                      </c:ext>
                    </c:extLst>
                    <c:strCache>
                      <c:ptCount val="1"/>
                      <c:pt idx="0">
                        <c:v>#REF!</c:v>
                      </c:pt>
                    </c:strCache>
                  </c:strRef>
                </c15:tx>
              </c15:filteredSeriesTitle>
            </c:ext>
            <c:ext xmlns:c16="http://schemas.microsoft.com/office/drawing/2014/chart" uri="{C3380CC4-5D6E-409C-BE32-E72D297353CC}">
              <c16:uniqueId val="{00000000-1428-49CA-81C7-63EFD9F7FE41}"/>
            </c:ext>
          </c:extLst>
        </c:ser>
        <c:dLbls>
          <c:showLegendKey val="0"/>
          <c:showVal val="0"/>
          <c:showCatName val="0"/>
          <c:showSerName val="0"/>
          <c:showPercent val="0"/>
          <c:showBubbleSize val="0"/>
        </c:dLbls>
        <c:gapWidth val="150"/>
        <c:axId val="264303360"/>
        <c:axId val="264304896"/>
      </c:barChart>
      <c:catAx>
        <c:axId val="264303360"/>
        <c:scaling>
          <c:orientation val="maxMin"/>
        </c:scaling>
        <c:delete val="0"/>
        <c:axPos val="l"/>
        <c:numFmt formatCode="General" sourceLinked="0"/>
        <c:majorTickMark val="out"/>
        <c:minorTickMark val="none"/>
        <c:tickLblPos val="nextTo"/>
        <c:crossAx val="264304896"/>
        <c:crosses val="autoZero"/>
        <c:auto val="1"/>
        <c:lblAlgn val="ctr"/>
        <c:lblOffset val="100"/>
        <c:noMultiLvlLbl val="0"/>
      </c:catAx>
      <c:valAx>
        <c:axId val="264304896"/>
        <c:scaling>
          <c:orientation val="minMax"/>
        </c:scaling>
        <c:delete val="1"/>
        <c:axPos val="t"/>
        <c:numFmt formatCode="0.0%" sourceLinked="1"/>
        <c:majorTickMark val="out"/>
        <c:minorTickMark val="none"/>
        <c:tickLblPos val="nextTo"/>
        <c:crossAx val="264303360"/>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0.69551</cdr:x>
      <cdr:y>0.42021</cdr:y>
    </cdr:from>
    <cdr:to>
      <cdr:x>0.99168</cdr:x>
      <cdr:y>0.625</cdr:y>
    </cdr:to>
    <cdr:sp macro="" textlink="">
      <cdr:nvSpPr>
        <cdr:cNvPr id="2" name="Ορθογώνιο 1"/>
        <cdr:cNvSpPr/>
      </cdr:nvSpPr>
      <cdr:spPr>
        <a:xfrm xmlns:a="http://schemas.openxmlformats.org/drawingml/2006/main">
          <a:off x="4034449" y="1504949"/>
          <a:ext cx="1718019" cy="733426"/>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76%</a:t>
          </a:r>
          <a:endParaRPr lang="el-GR" sz="14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0.63147</cdr:x>
      <cdr:y>0.62909</cdr:y>
    </cdr:from>
    <cdr:to>
      <cdr:x>0.97044</cdr:x>
      <cdr:y>0.83388</cdr:y>
    </cdr:to>
    <cdr:sp macro="" textlink="">
      <cdr:nvSpPr>
        <cdr:cNvPr id="2" name="Ορθογώνιο 1"/>
        <cdr:cNvSpPr/>
      </cdr:nvSpPr>
      <cdr:spPr>
        <a:xfrm xmlns:a="http://schemas.openxmlformats.org/drawingml/2006/main">
          <a:off x="3662988" y="2294958"/>
          <a:ext cx="1966288" cy="747089"/>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43,5%</a:t>
          </a:r>
          <a:endParaRPr lang="el-GR" sz="1400" b="1">
            <a:solidFill>
              <a:sysClr val="windowText" lastClr="00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0.68502</cdr:x>
      <cdr:y>0.51682</cdr:y>
    </cdr:from>
    <cdr:to>
      <cdr:x>0.99405</cdr:x>
      <cdr:y>0.72161</cdr:y>
    </cdr:to>
    <cdr:sp macro="" textlink="">
      <cdr:nvSpPr>
        <cdr:cNvPr id="2" name="Ορθογώνιο 1"/>
        <cdr:cNvSpPr/>
      </cdr:nvSpPr>
      <cdr:spPr>
        <a:xfrm xmlns:a="http://schemas.openxmlformats.org/drawingml/2006/main">
          <a:off x="4267202" y="1885393"/>
          <a:ext cx="1925107" cy="747089"/>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57,8%</a:t>
          </a:r>
          <a:endParaRPr lang="el-GR" sz="1400" b="1">
            <a:solidFill>
              <a:sysClr val="windowText" lastClr="00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0.53364</cdr:x>
      <cdr:y>0.51421</cdr:y>
    </cdr:from>
    <cdr:to>
      <cdr:x>0.84267</cdr:x>
      <cdr:y>0.719</cdr:y>
    </cdr:to>
    <cdr:sp macro="" textlink="">
      <cdr:nvSpPr>
        <cdr:cNvPr id="2" name="Ορθογώνιο 1"/>
        <cdr:cNvSpPr/>
      </cdr:nvSpPr>
      <cdr:spPr>
        <a:xfrm xmlns:a="http://schemas.openxmlformats.org/drawingml/2006/main">
          <a:off x="3324255" y="1875873"/>
          <a:ext cx="1925056" cy="747089"/>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l-GR" sz="1400" b="1">
            <a:solidFill>
              <a:sysClr val="windowText" lastClr="000000"/>
            </a:solidFill>
          </a:endParaRPr>
        </a:p>
        <a:p xmlns:a="http://schemas.openxmlformats.org/drawingml/2006/main">
          <a:pPr algn="ctr"/>
          <a:r>
            <a:rPr lang="el-GR" sz="1400" b="1">
              <a:solidFill>
                <a:sysClr val="windowText" lastClr="000000"/>
              </a:solidFill>
            </a:rPr>
            <a:t>Μ.Ο.</a:t>
          </a:r>
          <a:r>
            <a:rPr lang="el-GR" sz="1400" b="1" baseline="0">
              <a:solidFill>
                <a:sysClr val="windowText" lastClr="000000"/>
              </a:solidFill>
            </a:rPr>
            <a:t> ΑΥΞΗΣΗΣ : 26,2%</a:t>
          </a:r>
          <a:endParaRPr lang="el-GR" sz="1400" b="1">
            <a:solidFill>
              <a:sysClr val="windowText" lastClr="000000"/>
            </a:solidFill>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4FA63F-B136-47D6-9051-A7AC35D59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43</Pages>
  <Words>10298</Words>
  <Characters>55611</Characters>
  <Application>Microsoft Office Word</Application>
  <DocSecurity>0</DocSecurity>
  <Lines>463</Lines>
  <Paragraphs>131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Γιώργος Θανόπουλος</dc:creator>
  <cp:lastModifiedBy>Γιώργος Θανόπουλος</cp:lastModifiedBy>
  <cp:revision>4</cp:revision>
  <dcterms:created xsi:type="dcterms:W3CDTF">2022-08-31T07:02:00Z</dcterms:created>
  <dcterms:modified xsi:type="dcterms:W3CDTF">2022-09-01T06:04:00Z</dcterms:modified>
</cp:coreProperties>
</file>